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3F" w:rsidRDefault="006B4D3F" w:rsidP="00B63D26">
      <w:pPr>
        <w:pStyle w:val="FormatvorlageArial10ptVor150pt"/>
        <w:pBdr>
          <w:bottom w:val="single" w:sz="4" w:space="1" w:color="auto"/>
        </w:pBdr>
        <w:tabs>
          <w:tab w:val="right" w:pos="9747"/>
        </w:tabs>
        <w:spacing w:before="0"/>
        <w:rPr>
          <w:rFonts w:cs="Arial"/>
          <w:b/>
          <w:sz w:val="24"/>
          <w:szCs w:val="24"/>
        </w:rPr>
      </w:pPr>
      <w:bookmarkStart w:id="0" w:name="_GoBack"/>
      <w:bookmarkEnd w:id="0"/>
    </w:p>
    <w:p w:rsidR="004F37D2" w:rsidRPr="005D7F51" w:rsidRDefault="00AD59E5" w:rsidP="00B63D26">
      <w:pPr>
        <w:pStyle w:val="FormatvorlageArial10ptVor150pt"/>
        <w:pBdr>
          <w:bottom w:val="single" w:sz="4" w:space="1" w:color="auto"/>
        </w:pBdr>
        <w:tabs>
          <w:tab w:val="right" w:pos="9747"/>
        </w:tabs>
        <w:spacing w:before="0"/>
        <w:rPr>
          <w:b/>
        </w:rPr>
      </w:pPr>
      <w:r>
        <w:rPr>
          <w:rFonts w:cs="Arial"/>
          <w:b/>
          <w:sz w:val="24"/>
          <w:szCs w:val="24"/>
        </w:rPr>
        <w:t xml:space="preserve">Perioperative oder – interventionelle </w:t>
      </w:r>
      <w:r w:rsidR="00C82E08">
        <w:rPr>
          <w:rFonts w:cs="Arial"/>
          <w:b/>
          <w:sz w:val="24"/>
          <w:szCs w:val="24"/>
        </w:rPr>
        <w:t>Dosierung niedermolekularer Heparine (LMWH) bei adipösen Patienten</w:t>
      </w:r>
      <w:r w:rsidR="008A5A64">
        <w:rPr>
          <w:rFonts w:cs="Arial"/>
          <w:b/>
          <w:sz w:val="24"/>
          <w:szCs w:val="24"/>
        </w:rPr>
        <w:t xml:space="preserve"> (BMI ≥ 30)</w:t>
      </w:r>
      <w:r>
        <w:rPr>
          <w:rFonts w:cs="Arial"/>
          <w:b/>
          <w:sz w:val="24"/>
          <w:szCs w:val="24"/>
        </w:rPr>
        <w:t xml:space="preserve"> </w:t>
      </w:r>
    </w:p>
    <w:p w:rsidR="003E7FA4" w:rsidRDefault="003E7FA4" w:rsidP="003E7FA4">
      <w:pPr>
        <w:pStyle w:val="berschrift6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3904DD" w:rsidRDefault="000A6688" w:rsidP="00AD59E5">
      <w:pPr>
        <w:pStyle w:val="berschrift6"/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Adipositas</w:t>
      </w:r>
      <w:r w:rsidR="005406BC">
        <w:rPr>
          <w:rFonts w:ascii="Arial" w:hAnsi="Arial" w:cs="Arial"/>
          <w:b w:val="0"/>
          <w:sz w:val="20"/>
          <w:szCs w:val="20"/>
        </w:rPr>
        <w:t xml:space="preserve"> (</w:t>
      </w:r>
      <w:r w:rsidR="00CC1DA3">
        <w:rPr>
          <w:rFonts w:ascii="Arial" w:hAnsi="Arial" w:cs="Arial"/>
          <w:b w:val="0"/>
          <w:sz w:val="20"/>
          <w:szCs w:val="20"/>
        </w:rPr>
        <w:t>BMI ≥ 30)</w:t>
      </w:r>
      <w:r w:rsidR="000B3A6E">
        <w:rPr>
          <w:rFonts w:ascii="Arial" w:hAnsi="Arial" w:cs="Arial"/>
          <w:b w:val="0"/>
          <w:sz w:val="20"/>
          <w:szCs w:val="20"/>
        </w:rPr>
        <w:t>, als unabhängiger Risikofaktor für thromboembolische Ereignisse, in Kombination mit einem</w:t>
      </w:r>
      <w:r>
        <w:rPr>
          <w:rFonts w:ascii="Arial" w:hAnsi="Arial" w:cs="Arial"/>
          <w:b w:val="0"/>
          <w:sz w:val="20"/>
          <w:szCs w:val="20"/>
        </w:rPr>
        <w:t xml:space="preserve"> operative</w:t>
      </w:r>
      <w:r w:rsidR="000B3A6E">
        <w:rPr>
          <w:rFonts w:ascii="Arial" w:hAnsi="Arial" w:cs="Arial"/>
          <w:b w:val="0"/>
          <w:sz w:val="20"/>
          <w:szCs w:val="20"/>
        </w:rPr>
        <w:t>n Eingriff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0B3A6E">
        <w:rPr>
          <w:rFonts w:ascii="Arial" w:hAnsi="Arial" w:cs="Arial"/>
          <w:b w:val="0"/>
          <w:sz w:val="20"/>
          <w:szCs w:val="20"/>
        </w:rPr>
        <w:t>erhöht das Risiko</w:t>
      </w:r>
      <w:r>
        <w:rPr>
          <w:rFonts w:ascii="Arial" w:hAnsi="Arial" w:cs="Arial"/>
          <w:b w:val="0"/>
          <w:sz w:val="20"/>
          <w:szCs w:val="20"/>
        </w:rPr>
        <w:t xml:space="preserve"> für </w:t>
      </w:r>
      <w:r w:rsidR="001C380C">
        <w:rPr>
          <w:rFonts w:ascii="Arial" w:hAnsi="Arial" w:cs="Arial"/>
          <w:b w:val="0"/>
          <w:sz w:val="20"/>
          <w:szCs w:val="20"/>
        </w:rPr>
        <w:t>tiefe Venen</w:t>
      </w:r>
      <w:r w:rsidR="003E7FA4">
        <w:rPr>
          <w:rFonts w:ascii="Arial" w:hAnsi="Arial" w:cs="Arial"/>
          <w:b w:val="0"/>
          <w:sz w:val="20"/>
          <w:szCs w:val="20"/>
        </w:rPr>
        <w:t>thrombosen oder Lungenembolien.</w:t>
      </w:r>
      <w:r w:rsidR="0018112D">
        <w:rPr>
          <w:rFonts w:ascii="Arial" w:hAnsi="Arial" w:cs="Arial"/>
          <w:b w:val="0"/>
          <w:sz w:val="20"/>
          <w:szCs w:val="20"/>
        </w:rPr>
        <w:t xml:space="preserve"> </w:t>
      </w:r>
    </w:p>
    <w:p w:rsidR="00A14A74" w:rsidRDefault="0018112D" w:rsidP="00A14A74">
      <w:pPr>
        <w:spacing w:line="240" w:lineRule="auto"/>
      </w:pPr>
      <w:r>
        <w:t>I</w:t>
      </w:r>
      <w:r w:rsidR="003904DD">
        <w:t>m perioperativen Setting</w:t>
      </w:r>
      <w:r w:rsidR="00AD59E5">
        <w:t xml:space="preserve"> </w:t>
      </w:r>
      <w:r>
        <w:t xml:space="preserve">wird </w:t>
      </w:r>
      <w:r w:rsidR="00AD59E5">
        <w:t xml:space="preserve">eine medikamentöse Thromboseprophylaxe – </w:t>
      </w:r>
      <w:r w:rsidR="000775EB">
        <w:t xml:space="preserve">i.d.R. </w:t>
      </w:r>
      <w:r>
        <w:t xml:space="preserve">mit subcutan applizierten </w:t>
      </w:r>
      <w:r w:rsidR="00AD59E5">
        <w:t>niedermolekulare</w:t>
      </w:r>
      <w:r>
        <w:t>n</w:t>
      </w:r>
      <w:r w:rsidR="00AD59E5">
        <w:t xml:space="preserve"> Heparine</w:t>
      </w:r>
      <w:r>
        <w:t>n</w:t>
      </w:r>
      <w:r w:rsidR="00AD59E5">
        <w:t xml:space="preserve"> (LMWH) oder</w:t>
      </w:r>
      <w:r>
        <w:t xml:space="preserve"> seltener mit unfraktioniertem</w:t>
      </w:r>
      <w:r w:rsidR="00AD59E5">
        <w:t xml:space="preserve"> Heparin </w:t>
      </w:r>
      <w:r>
        <w:t>–</w:t>
      </w:r>
      <w:r w:rsidR="00AD59E5">
        <w:t xml:space="preserve"> subcutan</w:t>
      </w:r>
      <w:r>
        <w:t xml:space="preserve"> oder iv.</w:t>
      </w:r>
      <w:r w:rsidR="00AD59E5">
        <w:t xml:space="preserve"> </w:t>
      </w:r>
      <w:r>
        <w:t>durchgeführt</w:t>
      </w:r>
      <w:r w:rsidR="00AD59E5">
        <w:t xml:space="preserve">. Allerdings werden in der bisherigen Praxis LMWH als fixe, gewichtsunabhängige Dosierungen – im KSO meist </w:t>
      </w:r>
      <w:r w:rsidR="004C5D1E">
        <w:t xml:space="preserve">1-mal tgl. </w:t>
      </w:r>
      <w:r w:rsidR="00AD59E5">
        <w:t>20 bis 40mg Enoxaparin sc – angewandt.</w:t>
      </w:r>
    </w:p>
    <w:p w:rsidR="004C5D1E" w:rsidRDefault="004C5D1E" w:rsidP="00A14A74">
      <w:pPr>
        <w:spacing w:line="240" w:lineRule="auto"/>
      </w:pPr>
    </w:p>
    <w:p w:rsidR="001565BA" w:rsidRPr="00A14A74" w:rsidRDefault="000A6688" w:rsidP="00A14A74">
      <w:pPr>
        <w:spacing w:line="240" w:lineRule="auto"/>
      </w:pPr>
      <w:r w:rsidRPr="00A14A74">
        <w:rPr>
          <w:rFonts w:cs="Arial"/>
          <w:szCs w:val="20"/>
        </w:rPr>
        <w:t xml:space="preserve">Im Rahmen der steigenden Prävalenz der Adipositas </w:t>
      </w:r>
      <w:r w:rsidR="003E7FA4" w:rsidRPr="00A14A74">
        <w:rPr>
          <w:rFonts w:cs="Arial"/>
          <w:szCs w:val="20"/>
        </w:rPr>
        <w:t>(USA 34% der erwachsenen Bevölkerung 2010) scheint es angebracht das bisherige Vorgehen d</w:t>
      </w:r>
      <w:r w:rsidR="000775EB" w:rsidRPr="00A14A74">
        <w:rPr>
          <w:rFonts w:cs="Arial"/>
          <w:szCs w:val="20"/>
        </w:rPr>
        <w:t>i</w:t>
      </w:r>
      <w:r w:rsidR="003E7FA4" w:rsidRPr="00A14A74">
        <w:rPr>
          <w:rFonts w:cs="Arial"/>
          <w:szCs w:val="20"/>
        </w:rPr>
        <w:t>e</w:t>
      </w:r>
      <w:r w:rsidR="000775EB" w:rsidRPr="00A14A74">
        <w:rPr>
          <w:rFonts w:cs="Arial"/>
          <w:szCs w:val="20"/>
        </w:rPr>
        <w:t>se</w:t>
      </w:r>
      <w:r w:rsidR="003E7FA4" w:rsidRPr="00A14A74">
        <w:rPr>
          <w:rFonts w:cs="Arial"/>
          <w:szCs w:val="20"/>
        </w:rPr>
        <w:t>r fixen Dosierung  niedermolekularer Heparine (LMWH)</w:t>
      </w:r>
      <w:r w:rsidR="00DA02C3" w:rsidRPr="00A14A74">
        <w:rPr>
          <w:rFonts w:cs="Arial"/>
          <w:szCs w:val="20"/>
        </w:rPr>
        <w:t xml:space="preserve"> für die Thromboseprophylaxe bzw. </w:t>
      </w:r>
      <w:r w:rsidR="000775EB" w:rsidRPr="00A14A74">
        <w:rPr>
          <w:rFonts w:cs="Arial"/>
          <w:szCs w:val="20"/>
        </w:rPr>
        <w:t xml:space="preserve">auch </w:t>
      </w:r>
      <w:r w:rsidR="00DA02C3" w:rsidRPr="00A14A74">
        <w:rPr>
          <w:rFonts w:cs="Arial"/>
          <w:szCs w:val="20"/>
        </w:rPr>
        <w:t>die Dosierung für den therapeutischen Einsatz</w:t>
      </w:r>
      <w:r w:rsidR="003E7FA4" w:rsidRPr="00A14A74">
        <w:rPr>
          <w:rFonts w:cs="Arial"/>
          <w:szCs w:val="20"/>
        </w:rPr>
        <w:t xml:space="preserve"> </w:t>
      </w:r>
      <w:r w:rsidR="00AD7F44" w:rsidRPr="00A14A74">
        <w:rPr>
          <w:rFonts w:cs="Arial"/>
          <w:szCs w:val="20"/>
        </w:rPr>
        <w:t>zu überdenken</w:t>
      </w:r>
      <w:r w:rsidR="003E7FA4" w:rsidRPr="00A14A74">
        <w:rPr>
          <w:rFonts w:cs="Arial"/>
          <w:szCs w:val="20"/>
        </w:rPr>
        <w:t xml:space="preserve">. </w:t>
      </w:r>
    </w:p>
    <w:p w:rsidR="001565BA" w:rsidRDefault="001C380C" w:rsidP="00A14A74">
      <w:pPr>
        <w:pStyle w:val="berschrift6"/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Allerdings liegen hier noch keine randomisiert-kontrollierten Daten vor, da das adipöse Patientengut meist von entsprechenden Studien ausgeschlossen wird. </w:t>
      </w:r>
      <w:r w:rsidR="00DA02C3">
        <w:rPr>
          <w:rFonts w:ascii="Arial" w:hAnsi="Arial" w:cs="Arial"/>
          <w:b w:val="0"/>
          <w:sz w:val="20"/>
          <w:szCs w:val="20"/>
        </w:rPr>
        <w:t xml:space="preserve">Erschwerend kommt dazu, dass </w:t>
      </w:r>
      <w:r w:rsidR="001565BA">
        <w:rPr>
          <w:rFonts w:ascii="Arial" w:hAnsi="Arial" w:cs="Arial"/>
          <w:b w:val="0"/>
          <w:sz w:val="20"/>
          <w:szCs w:val="20"/>
        </w:rPr>
        <w:t xml:space="preserve"> </w:t>
      </w:r>
      <w:r w:rsidR="00AD59E5">
        <w:rPr>
          <w:rFonts w:ascii="Arial" w:hAnsi="Arial" w:cs="Arial"/>
          <w:b w:val="0"/>
          <w:sz w:val="20"/>
          <w:szCs w:val="20"/>
        </w:rPr>
        <w:t xml:space="preserve">bei </w:t>
      </w:r>
      <w:r w:rsidR="00761C61">
        <w:rPr>
          <w:rFonts w:ascii="Arial" w:hAnsi="Arial" w:cs="Arial"/>
          <w:b w:val="0"/>
          <w:sz w:val="20"/>
          <w:szCs w:val="20"/>
        </w:rPr>
        <w:t>a</w:t>
      </w:r>
      <w:r w:rsidR="001565BA">
        <w:rPr>
          <w:rFonts w:ascii="Arial" w:hAnsi="Arial" w:cs="Arial"/>
          <w:b w:val="0"/>
          <w:sz w:val="20"/>
          <w:szCs w:val="20"/>
        </w:rPr>
        <w:t>dipöse</w:t>
      </w:r>
      <w:r w:rsidR="00761C61">
        <w:rPr>
          <w:rFonts w:ascii="Arial" w:hAnsi="Arial" w:cs="Arial"/>
          <w:b w:val="0"/>
          <w:sz w:val="20"/>
          <w:szCs w:val="20"/>
        </w:rPr>
        <w:t>n Patienten</w:t>
      </w:r>
      <w:r w:rsidR="001565BA">
        <w:rPr>
          <w:rFonts w:ascii="Arial" w:hAnsi="Arial" w:cs="Arial"/>
          <w:b w:val="0"/>
          <w:sz w:val="20"/>
          <w:szCs w:val="20"/>
        </w:rPr>
        <w:t xml:space="preserve"> mehrere Mechanismen veränderter Medikamentenverteilung und –metabolisierung </w:t>
      </w:r>
      <w:r w:rsidR="00AD59E5">
        <w:rPr>
          <w:rFonts w:ascii="Arial" w:hAnsi="Arial" w:cs="Arial"/>
          <w:b w:val="0"/>
          <w:sz w:val="20"/>
          <w:szCs w:val="20"/>
        </w:rPr>
        <w:t>vorliegen</w:t>
      </w:r>
      <w:r w:rsidR="001565BA">
        <w:rPr>
          <w:rFonts w:ascii="Arial" w:hAnsi="Arial" w:cs="Arial"/>
          <w:b w:val="0"/>
          <w:sz w:val="20"/>
          <w:szCs w:val="20"/>
        </w:rPr>
        <w:t xml:space="preserve">, wie z.B. </w:t>
      </w:r>
      <w:r w:rsidR="000B3A6E">
        <w:rPr>
          <w:rFonts w:ascii="Arial" w:hAnsi="Arial" w:cs="Arial"/>
          <w:b w:val="0"/>
          <w:sz w:val="20"/>
          <w:szCs w:val="20"/>
        </w:rPr>
        <w:t xml:space="preserve">eine </w:t>
      </w:r>
      <w:r w:rsidR="001565BA">
        <w:rPr>
          <w:rFonts w:ascii="Arial" w:hAnsi="Arial" w:cs="Arial"/>
          <w:b w:val="0"/>
          <w:sz w:val="20"/>
          <w:szCs w:val="20"/>
        </w:rPr>
        <w:t>veränderte renale Clearance, metabolische Störungen sowie Veränderungen im Verteilungsvolumen und der Medikamentenabsorption.</w:t>
      </w:r>
    </w:p>
    <w:p w:rsidR="00DA02C3" w:rsidRDefault="001C380C" w:rsidP="00A14A74">
      <w:pPr>
        <w:pStyle w:val="berschrift6"/>
        <w:spacing w:before="0" w:line="24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Am besten untersucht sind adipöse Patienten, die sich bariatrischen Eingriffen unterziehen müssen. </w:t>
      </w:r>
      <w:r w:rsidR="00CC1DA3">
        <w:rPr>
          <w:rFonts w:ascii="Arial" w:hAnsi="Arial" w:cs="Arial"/>
          <w:b w:val="0"/>
          <w:sz w:val="20"/>
          <w:szCs w:val="20"/>
        </w:rPr>
        <w:t>Dieses spezielle Patientengut wird entsprechend oft stellvertretend für Dosierungsfragen bei adipösen Patienten herangezogen.</w:t>
      </w:r>
    </w:p>
    <w:p w:rsidR="00761C61" w:rsidRPr="00761C61" w:rsidRDefault="00761C61" w:rsidP="00761C61"/>
    <w:p w:rsidR="008472A2" w:rsidRDefault="001C380C" w:rsidP="003E7FA4">
      <w:pPr>
        <w:spacing w:line="240" w:lineRule="auto"/>
      </w:pPr>
      <w:r>
        <w:t xml:space="preserve">Zwei </w:t>
      </w:r>
      <w:r w:rsidR="005406BC">
        <w:t>Probleme</w:t>
      </w:r>
      <w:r>
        <w:t xml:space="preserve"> </w:t>
      </w:r>
      <w:r w:rsidR="0018112D">
        <w:t>bzgl. der Dosisfindung der LMWH</w:t>
      </w:r>
      <w:r w:rsidR="00023EA4">
        <w:t xml:space="preserve"> bei adipösen Patienten</w:t>
      </w:r>
      <w:r w:rsidR="000775EB">
        <w:t xml:space="preserve"> </w:t>
      </w:r>
      <w:r>
        <w:t>stehen im Vordergrund:</w:t>
      </w:r>
    </w:p>
    <w:p w:rsidR="00761C61" w:rsidRDefault="00761C61" w:rsidP="003E7FA4">
      <w:pPr>
        <w:spacing w:line="240" w:lineRule="auto"/>
      </w:pPr>
    </w:p>
    <w:p w:rsidR="001C380C" w:rsidRDefault="001C380C" w:rsidP="001C380C">
      <w:pPr>
        <w:numPr>
          <w:ilvl w:val="0"/>
          <w:numId w:val="2"/>
        </w:numPr>
        <w:spacing w:line="240" w:lineRule="auto"/>
      </w:pPr>
      <w:r>
        <w:t xml:space="preserve">Mögliche Unterdosierung der </w:t>
      </w:r>
      <w:r w:rsidRPr="00E40896">
        <w:rPr>
          <w:b/>
        </w:rPr>
        <w:t>Thrombose</w:t>
      </w:r>
      <w:r w:rsidRPr="001565BA">
        <w:rPr>
          <w:b/>
        </w:rPr>
        <w:t>prophylaxe</w:t>
      </w:r>
      <w:r>
        <w:t xml:space="preserve"> bei </w:t>
      </w:r>
      <w:r w:rsidR="000775EB">
        <w:t xml:space="preserve">den üblichen </w:t>
      </w:r>
      <w:r>
        <w:t>fixe</w:t>
      </w:r>
      <w:r w:rsidR="000775EB">
        <w:t>n, standardisierten  Dosierungs</w:t>
      </w:r>
      <w:r>
        <w:t>empfehlungen (ohne Gewichtsadaptation).</w:t>
      </w:r>
    </w:p>
    <w:p w:rsidR="0018112D" w:rsidRPr="00E40896" w:rsidRDefault="001C380C" w:rsidP="004871B1">
      <w:pPr>
        <w:numPr>
          <w:ilvl w:val="0"/>
          <w:numId w:val="2"/>
        </w:numPr>
        <w:spacing w:line="240" w:lineRule="auto"/>
        <w:rPr>
          <w:b/>
        </w:rPr>
      </w:pPr>
      <w:r>
        <w:t xml:space="preserve">Mögliche </w:t>
      </w:r>
      <w:r w:rsidR="001565BA">
        <w:t>Überdosierung</w:t>
      </w:r>
      <w:r w:rsidR="00AD7F44">
        <w:t xml:space="preserve"> und </w:t>
      </w:r>
      <w:r w:rsidR="00761C61">
        <w:t xml:space="preserve">entsprechend </w:t>
      </w:r>
      <w:r w:rsidR="00AD7F44">
        <w:t>erhöhte Blutungsneigung</w:t>
      </w:r>
      <w:r w:rsidR="001565BA">
        <w:t xml:space="preserve"> bei</w:t>
      </w:r>
      <w:r>
        <w:t xml:space="preserve"> </w:t>
      </w:r>
      <w:r w:rsidRPr="00E40896">
        <w:rPr>
          <w:b/>
        </w:rPr>
        <w:t>therapeutischer</w:t>
      </w:r>
      <w:r w:rsidR="001565BA" w:rsidRPr="00E40896">
        <w:rPr>
          <w:b/>
        </w:rPr>
        <w:t>, gewichtsadaptierter</w:t>
      </w:r>
      <w:r w:rsidR="00761C61" w:rsidRPr="00E40896">
        <w:rPr>
          <w:b/>
        </w:rPr>
        <w:t xml:space="preserve"> (</w:t>
      </w:r>
      <w:r w:rsidR="00E40896">
        <w:rPr>
          <w:b/>
        </w:rPr>
        <w:t xml:space="preserve">total body weight, </w:t>
      </w:r>
      <w:r w:rsidR="00761C61" w:rsidRPr="00E40896">
        <w:rPr>
          <w:b/>
        </w:rPr>
        <w:t>TBW)</w:t>
      </w:r>
      <w:r w:rsidR="004871B1" w:rsidRPr="00E40896">
        <w:rPr>
          <w:b/>
        </w:rPr>
        <w:t xml:space="preserve"> </w:t>
      </w:r>
      <w:r w:rsidR="001565BA" w:rsidRPr="00E40896">
        <w:rPr>
          <w:b/>
        </w:rPr>
        <w:t>Dosierung</w:t>
      </w:r>
      <w:r w:rsidR="00761C61" w:rsidRPr="00E40896">
        <w:rPr>
          <w:b/>
        </w:rPr>
        <w:t xml:space="preserve">. </w:t>
      </w:r>
    </w:p>
    <w:p w:rsidR="004871B1" w:rsidRDefault="000B3A6E" w:rsidP="0018112D">
      <w:pPr>
        <w:spacing w:line="240" w:lineRule="auto"/>
        <w:ind w:left="360"/>
      </w:pPr>
      <w:r>
        <w:t>Eine mögliche Erklärung dieser „klinischen Kontroverse“ liegt darin, dass adipöse Patienten</w:t>
      </w:r>
      <w:r w:rsidR="004871B1">
        <w:t xml:space="preserve"> einen erhöhten Fettgewebeanteil in Bezug auf ihr gesamtes Kö</w:t>
      </w:r>
      <w:r w:rsidR="00E40896">
        <w:t>rpergewicht (</w:t>
      </w:r>
      <w:r w:rsidR="004871B1">
        <w:t>TBW)</w:t>
      </w:r>
      <w:r>
        <w:t xml:space="preserve"> haben</w:t>
      </w:r>
      <w:r w:rsidR="004871B1">
        <w:t xml:space="preserve">. Dieses Fettgewebe ist </w:t>
      </w:r>
      <w:r w:rsidR="00516416">
        <w:t xml:space="preserve">allerdings </w:t>
      </w:r>
      <w:r w:rsidR="004871B1">
        <w:t xml:space="preserve">relativ schlecht vaskularisiert, was zu einer theoretischen Überdosierung </w:t>
      </w:r>
      <w:r w:rsidR="00516416">
        <w:t xml:space="preserve">von Medikamenten mit einem hohen vaskulären Verteilungsvolumen, </w:t>
      </w:r>
      <w:r>
        <w:t>wie</w:t>
      </w:r>
      <w:r w:rsidR="00516416">
        <w:t xml:space="preserve"> LMWH, führen könnte</w:t>
      </w:r>
      <w:r w:rsidR="004871B1">
        <w:t>.</w:t>
      </w:r>
      <w:r w:rsidR="00DA7C09">
        <w:t xml:space="preserve"> </w:t>
      </w:r>
    </w:p>
    <w:p w:rsidR="004871B1" w:rsidRDefault="004871B1" w:rsidP="004871B1">
      <w:pPr>
        <w:spacing w:line="240" w:lineRule="auto"/>
      </w:pPr>
    </w:p>
    <w:p w:rsidR="00761C61" w:rsidRDefault="00761C61" w:rsidP="00761C61">
      <w:pPr>
        <w:spacing w:line="240" w:lineRule="auto"/>
      </w:pPr>
      <w:r>
        <w:t xml:space="preserve">Aufgrund der </w:t>
      </w:r>
      <w:r w:rsidR="000775EB">
        <w:t xml:space="preserve">noch </w:t>
      </w:r>
      <w:r>
        <w:t>fehle</w:t>
      </w:r>
      <w:r w:rsidR="000B3A6E">
        <w:t>nden evidenzbasierten Datenlage und</w:t>
      </w:r>
      <w:r>
        <w:t xml:space="preserve"> </w:t>
      </w:r>
      <w:r w:rsidR="00E40896">
        <w:t xml:space="preserve">bisher </w:t>
      </w:r>
      <w:r>
        <w:t xml:space="preserve">fehlender klarer Guidelines, sind die folgenden </w:t>
      </w:r>
      <w:r w:rsidR="0018112D">
        <w:t>Dosis-</w:t>
      </w:r>
      <w:r>
        <w:t>Empfehlungen</w:t>
      </w:r>
      <w:r w:rsidR="000B3A6E">
        <w:t>, die aus verschiedenen Textstellen und Journals st</w:t>
      </w:r>
      <w:r w:rsidR="00E40896">
        <w:t>ammen, vorerst</w:t>
      </w:r>
      <w:r w:rsidR="000B3A6E">
        <w:t xml:space="preserve"> </w:t>
      </w:r>
      <w:r w:rsidR="00E40896">
        <w:t xml:space="preserve">als </w:t>
      </w:r>
      <w:r>
        <w:t>„Expertenmeinung“ zu verstehen.</w:t>
      </w:r>
      <w:r w:rsidR="00E40896">
        <w:t xml:space="preserve"> Besprochen wurde die folgende Vorgehensweise mit </w:t>
      </w:r>
      <w:r w:rsidR="0080016B">
        <w:t xml:space="preserve">den Hämatologen </w:t>
      </w:r>
      <w:r w:rsidR="00E40896">
        <w:t>Fr. Dr. Friess und Prof. Tsakiris (Uni BS).</w:t>
      </w:r>
    </w:p>
    <w:p w:rsidR="006B4D3F" w:rsidRPr="008472A2" w:rsidRDefault="006B4D3F" w:rsidP="00761C61">
      <w:pPr>
        <w:spacing w:line="240" w:lineRule="auto"/>
      </w:pPr>
    </w:p>
    <w:p w:rsidR="00B2327E" w:rsidRPr="006B4D3F" w:rsidRDefault="00423673" w:rsidP="006B4D3F">
      <w:pPr>
        <w:pStyle w:val="berschrift6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94C13">
        <w:rPr>
          <w:rFonts w:ascii="Arial" w:hAnsi="Arial" w:cs="Arial"/>
          <w:sz w:val="20"/>
          <w:szCs w:val="20"/>
        </w:rPr>
        <w:t>Enox</w:t>
      </w:r>
      <w:r w:rsidRPr="006B4D3F">
        <w:rPr>
          <w:rFonts w:ascii="Arial" w:hAnsi="Arial" w:cs="Arial"/>
          <w:sz w:val="20"/>
          <w:szCs w:val="20"/>
        </w:rPr>
        <w:t>aparine (Clexane</w:t>
      </w:r>
      <w:r w:rsidRPr="006B4D3F">
        <w:rPr>
          <w:rFonts w:ascii="Arial" w:hAnsi="Arial" w:cs="Arial"/>
          <w:sz w:val="20"/>
          <w:szCs w:val="20"/>
          <w:vertAlign w:val="superscript"/>
        </w:rPr>
        <w:t>®</w:t>
      </w:r>
      <w:r w:rsidRPr="006B4D3F">
        <w:rPr>
          <w:rFonts w:ascii="Arial" w:hAnsi="Arial" w:cs="Arial"/>
          <w:sz w:val="20"/>
          <w:szCs w:val="20"/>
        </w:rPr>
        <w:t>)</w:t>
      </w:r>
      <w:r w:rsidR="008A5A64" w:rsidRPr="006B4D3F">
        <w:rPr>
          <w:rFonts w:ascii="Arial" w:hAnsi="Arial" w:cs="Arial"/>
          <w:sz w:val="20"/>
          <w:szCs w:val="20"/>
        </w:rPr>
        <w:t xml:space="preserve"> </w:t>
      </w:r>
      <w:r w:rsidR="00A83C55" w:rsidRPr="006B4D3F">
        <w:rPr>
          <w:rFonts w:ascii="Arial" w:hAnsi="Arial" w:cs="Arial"/>
          <w:sz w:val="20"/>
          <w:szCs w:val="20"/>
        </w:rPr>
        <w:t xml:space="preserve">in </w:t>
      </w:r>
      <w:r w:rsidR="00A83C55" w:rsidRPr="006B4D3F">
        <w:rPr>
          <w:rFonts w:ascii="Arial" w:hAnsi="Arial" w:cs="Arial"/>
          <w:sz w:val="20"/>
          <w:szCs w:val="20"/>
          <w:u w:val="single"/>
        </w:rPr>
        <w:t>prophylaktischer</w:t>
      </w:r>
      <w:r w:rsidR="00A83C55" w:rsidRPr="006B4D3F">
        <w:rPr>
          <w:rFonts w:ascii="Arial" w:hAnsi="Arial" w:cs="Arial"/>
          <w:sz w:val="20"/>
          <w:szCs w:val="20"/>
        </w:rPr>
        <w:t xml:space="preserve"> Dosierung (Thromboseprophylaxe)</w:t>
      </w:r>
    </w:p>
    <w:p w:rsidR="00E40896" w:rsidRPr="00A94C13" w:rsidRDefault="00317FCC" w:rsidP="00317FCC">
      <w:pPr>
        <w:autoSpaceDE w:val="0"/>
        <w:autoSpaceDN w:val="0"/>
        <w:adjustRightInd w:val="0"/>
        <w:spacing w:line="240" w:lineRule="auto"/>
        <w:ind w:left="360"/>
        <w:rPr>
          <w:i/>
        </w:rPr>
      </w:pPr>
      <w:r w:rsidRPr="00A94C13">
        <w:rPr>
          <w:rFonts w:cs="Arial"/>
          <w:i/>
        </w:rPr>
        <w:t>[</w:t>
      </w:r>
      <w:r w:rsidR="00E40896" w:rsidRPr="00A94C13">
        <w:rPr>
          <w:i/>
        </w:rPr>
        <w:t xml:space="preserve">Theoretisch Berechnung der </w:t>
      </w:r>
      <w:r w:rsidR="00423673" w:rsidRPr="00A94C13">
        <w:rPr>
          <w:i/>
        </w:rPr>
        <w:t xml:space="preserve">Dosierung gemäss aktuellem Körpergewicht (TBW): </w:t>
      </w:r>
    </w:p>
    <w:p w:rsidR="00423673" w:rsidRPr="00A94C13" w:rsidRDefault="00423673" w:rsidP="00317FCC">
      <w:pPr>
        <w:autoSpaceDE w:val="0"/>
        <w:autoSpaceDN w:val="0"/>
        <w:adjustRightInd w:val="0"/>
        <w:spacing w:line="240" w:lineRule="auto"/>
        <w:ind w:left="360"/>
        <w:rPr>
          <w:i/>
        </w:rPr>
      </w:pPr>
      <w:r w:rsidRPr="00A94C13">
        <w:rPr>
          <w:i/>
        </w:rPr>
        <w:t xml:space="preserve">0.5mg/kgKG sc. </w:t>
      </w:r>
      <w:r w:rsidR="0090028F" w:rsidRPr="00A94C13">
        <w:rPr>
          <w:i/>
        </w:rPr>
        <w:t xml:space="preserve">aufgeteilt auf 2 Applikationen/Tag. Bsp.: Patient mit 120kg </w:t>
      </w:r>
      <w:r w:rsidR="0090028F" w:rsidRPr="00A94C13">
        <w:rPr>
          <w:i/>
        </w:rPr>
        <w:sym w:font="Wingdings" w:char="F0E0"/>
      </w:r>
      <w:r w:rsidR="0090028F" w:rsidRPr="00A94C13">
        <w:rPr>
          <w:i/>
        </w:rPr>
        <w:t xml:space="preserve"> Clexane 2 x 30 mg sc</w:t>
      </w:r>
      <w:r w:rsidR="00317FCC" w:rsidRPr="00A94C13">
        <w:rPr>
          <w:i/>
        </w:rPr>
        <w:sym w:font="Symbol" w:char="F05D"/>
      </w:r>
    </w:p>
    <w:p w:rsidR="00317FCC" w:rsidRPr="00A94C13" w:rsidRDefault="00317FCC" w:rsidP="00317FCC">
      <w:pPr>
        <w:autoSpaceDE w:val="0"/>
        <w:autoSpaceDN w:val="0"/>
        <w:adjustRightInd w:val="0"/>
        <w:spacing w:line="240" w:lineRule="auto"/>
        <w:ind w:left="360"/>
        <w:rPr>
          <w:b/>
          <w:i/>
        </w:rPr>
      </w:pPr>
    </w:p>
    <w:p w:rsidR="00317FCC" w:rsidRDefault="000E501E" w:rsidP="00317FCC">
      <w:pPr>
        <w:autoSpaceDE w:val="0"/>
        <w:autoSpaceDN w:val="0"/>
        <w:adjustRightInd w:val="0"/>
        <w:spacing w:line="240" w:lineRule="auto"/>
        <w:ind w:left="360"/>
        <w:rPr>
          <w:b/>
        </w:rPr>
      </w:pPr>
      <w:r w:rsidRPr="00A94C13">
        <w:rPr>
          <w:b/>
        </w:rPr>
        <w:t xml:space="preserve">Durchführung </w:t>
      </w:r>
      <w:r w:rsidR="0080016B">
        <w:rPr>
          <w:b/>
        </w:rPr>
        <w:t xml:space="preserve">am </w:t>
      </w:r>
      <w:r w:rsidRPr="00A94C13">
        <w:rPr>
          <w:b/>
        </w:rPr>
        <w:t>KSO</w:t>
      </w:r>
      <w:r w:rsidR="00EC659C">
        <w:rPr>
          <w:b/>
        </w:rPr>
        <w:t xml:space="preserve"> </w:t>
      </w:r>
      <w:r w:rsidR="00EC659C" w:rsidRPr="00EC659C">
        <w:rPr>
          <w:b/>
        </w:rPr>
        <w:sym w:font="Wingdings" w:char="F0E8"/>
      </w:r>
    </w:p>
    <w:p w:rsidR="00EC659C" w:rsidRPr="00A94C13" w:rsidRDefault="00EC659C" w:rsidP="00317FCC">
      <w:pPr>
        <w:autoSpaceDE w:val="0"/>
        <w:autoSpaceDN w:val="0"/>
        <w:adjustRightInd w:val="0"/>
        <w:spacing w:line="240" w:lineRule="auto"/>
        <w:ind w:left="360"/>
        <w:rPr>
          <w:b/>
        </w:rPr>
      </w:pPr>
    </w:p>
    <w:p w:rsidR="00317FCC" w:rsidRPr="00A94C13" w:rsidRDefault="00317FCC" w:rsidP="000E501E">
      <w:pPr>
        <w:autoSpaceDE w:val="0"/>
        <w:autoSpaceDN w:val="0"/>
        <w:adjustRightInd w:val="0"/>
        <w:spacing w:line="240" w:lineRule="auto"/>
        <w:ind w:left="360"/>
        <w:rPr>
          <w:b/>
        </w:rPr>
      </w:pPr>
      <w:r w:rsidRPr="00A94C13">
        <w:rPr>
          <w:b/>
        </w:rPr>
        <w:t>Adipöse Patienten für nicht-bariatrische Chirurgie:</w:t>
      </w:r>
    </w:p>
    <w:p w:rsidR="00317FCC" w:rsidRPr="00A94C13" w:rsidRDefault="00317FCC" w:rsidP="00317FCC">
      <w:pPr>
        <w:autoSpaceDE w:val="0"/>
        <w:autoSpaceDN w:val="0"/>
        <w:adjustRightInd w:val="0"/>
        <w:spacing w:line="240" w:lineRule="auto"/>
        <w:ind w:left="360"/>
        <w:rPr>
          <w:b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0E501E" w:rsidRPr="00A94C13" w:rsidTr="00DE1FAA">
        <w:tc>
          <w:tcPr>
            <w:tcW w:w="9144" w:type="dxa"/>
            <w:shd w:val="clear" w:color="auto" w:fill="auto"/>
          </w:tcPr>
          <w:p w:rsidR="00317FCC" w:rsidRPr="00A94C13" w:rsidRDefault="00317FCC" w:rsidP="00DE1F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94C13">
              <w:rPr>
                <w:rFonts w:cs="Arial"/>
                <w:szCs w:val="20"/>
              </w:rPr>
              <w:t>0.5mg Clexane/kgKG</w:t>
            </w:r>
            <w:r w:rsidR="00553474" w:rsidRPr="00A94C13">
              <w:rPr>
                <w:rFonts w:cs="Arial"/>
                <w:szCs w:val="20"/>
              </w:rPr>
              <w:t xml:space="preserve"> (TBW)</w:t>
            </w:r>
            <w:r w:rsidRPr="00A94C13">
              <w:rPr>
                <w:rFonts w:cs="Arial"/>
                <w:szCs w:val="20"/>
              </w:rPr>
              <w:t xml:space="preserve"> sc. 1 x tgl., um  20.00 Uhr</w:t>
            </w:r>
          </w:p>
        </w:tc>
      </w:tr>
    </w:tbl>
    <w:p w:rsidR="000B3A6E" w:rsidRPr="00A94C13" w:rsidRDefault="000B3A6E" w:rsidP="00687ACA">
      <w:pPr>
        <w:autoSpaceDE w:val="0"/>
        <w:autoSpaceDN w:val="0"/>
        <w:adjustRightInd w:val="0"/>
        <w:spacing w:line="240" w:lineRule="auto"/>
        <w:rPr>
          <w:b/>
        </w:rPr>
      </w:pPr>
    </w:p>
    <w:p w:rsidR="0090028F" w:rsidRPr="00A94C13" w:rsidRDefault="0090028F" w:rsidP="00423673">
      <w:pPr>
        <w:autoSpaceDE w:val="0"/>
        <w:autoSpaceDN w:val="0"/>
        <w:adjustRightInd w:val="0"/>
        <w:spacing w:line="240" w:lineRule="auto"/>
        <w:ind w:left="709"/>
        <w:rPr>
          <w:b/>
        </w:rPr>
      </w:pPr>
    </w:p>
    <w:p w:rsidR="00317FCC" w:rsidRPr="00A94C13" w:rsidRDefault="00317FCC" w:rsidP="000E501E">
      <w:pPr>
        <w:autoSpaceDE w:val="0"/>
        <w:autoSpaceDN w:val="0"/>
        <w:adjustRightInd w:val="0"/>
        <w:spacing w:line="240" w:lineRule="auto"/>
        <w:ind w:left="709" w:hanging="283"/>
        <w:rPr>
          <w:b/>
        </w:rPr>
      </w:pPr>
      <w:r w:rsidRPr="00A94C13">
        <w:rPr>
          <w:b/>
        </w:rPr>
        <w:t>Bariatrische Chirurgie:</w:t>
      </w:r>
    </w:p>
    <w:p w:rsidR="000E501E" w:rsidRPr="00A94C13" w:rsidRDefault="000E501E" w:rsidP="000E501E">
      <w:pPr>
        <w:autoSpaceDE w:val="0"/>
        <w:autoSpaceDN w:val="0"/>
        <w:adjustRightInd w:val="0"/>
        <w:spacing w:line="240" w:lineRule="auto"/>
        <w:ind w:left="709"/>
        <w:rPr>
          <w:b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16"/>
      </w:tblGrid>
      <w:tr w:rsidR="0090028F" w:rsidRPr="00A94C13" w:rsidTr="00133EF2">
        <w:tc>
          <w:tcPr>
            <w:tcW w:w="4888" w:type="dxa"/>
            <w:shd w:val="clear" w:color="auto" w:fill="auto"/>
          </w:tcPr>
          <w:p w:rsidR="0090028F" w:rsidRPr="00A94C13" w:rsidRDefault="0090028F" w:rsidP="00133E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94C13">
              <w:rPr>
                <w:rFonts w:cs="Arial"/>
                <w:szCs w:val="20"/>
              </w:rPr>
              <w:t>Gewicht &lt; 110 kg</w:t>
            </w:r>
          </w:p>
        </w:tc>
        <w:tc>
          <w:tcPr>
            <w:tcW w:w="4889" w:type="dxa"/>
            <w:shd w:val="clear" w:color="auto" w:fill="auto"/>
          </w:tcPr>
          <w:p w:rsidR="0090028F" w:rsidRPr="00A94C13" w:rsidRDefault="0090028F" w:rsidP="00133E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94C13">
              <w:rPr>
                <w:rFonts w:cs="Arial"/>
                <w:szCs w:val="20"/>
              </w:rPr>
              <w:t>Clexane 40mg sc. 1 – 0 – 1</w:t>
            </w:r>
          </w:p>
        </w:tc>
      </w:tr>
      <w:tr w:rsidR="0090028F" w:rsidRPr="00A94C13" w:rsidTr="00133EF2">
        <w:tc>
          <w:tcPr>
            <w:tcW w:w="4888" w:type="dxa"/>
            <w:shd w:val="clear" w:color="auto" w:fill="auto"/>
          </w:tcPr>
          <w:p w:rsidR="0090028F" w:rsidRPr="00A94C13" w:rsidRDefault="0090028F" w:rsidP="00133E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94C13">
              <w:rPr>
                <w:rFonts w:cs="Arial"/>
                <w:szCs w:val="20"/>
              </w:rPr>
              <w:t>Gewicht &gt; 110kg</w:t>
            </w:r>
          </w:p>
        </w:tc>
        <w:tc>
          <w:tcPr>
            <w:tcW w:w="4889" w:type="dxa"/>
            <w:shd w:val="clear" w:color="auto" w:fill="auto"/>
          </w:tcPr>
          <w:p w:rsidR="0090028F" w:rsidRPr="00A94C13" w:rsidRDefault="0090028F" w:rsidP="00133E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94C13">
              <w:rPr>
                <w:rFonts w:cs="Arial"/>
                <w:szCs w:val="20"/>
              </w:rPr>
              <w:t>Clexane 60mg sc. 1 – 0 – 1</w:t>
            </w:r>
          </w:p>
        </w:tc>
      </w:tr>
    </w:tbl>
    <w:p w:rsidR="0090028F" w:rsidRPr="00A94C13" w:rsidRDefault="0090028F" w:rsidP="00B2327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EC659C" w:rsidRDefault="00687ACA" w:rsidP="00EC659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A94C13">
        <w:rPr>
          <w:b/>
        </w:rPr>
        <w:t>CAVE:</w:t>
      </w:r>
      <w:r w:rsidR="00317FCC" w:rsidRPr="00A94C13">
        <w:t xml:space="preserve"> U</w:t>
      </w:r>
      <w:r w:rsidRPr="00A94C13">
        <w:t>ngewohnte Verabreichung der Clexane-Prophylaxe</w:t>
      </w:r>
      <w:r w:rsidR="00A83C55" w:rsidRPr="00A94C13">
        <w:t xml:space="preserve"> aufgeteilt auf 2 Tagesd</w:t>
      </w:r>
      <w:r w:rsidRPr="00A94C13">
        <w:t>osen; Gefahr der morgendlichen Applikation am OP-Tag</w:t>
      </w:r>
      <w:r w:rsidR="00A83C55" w:rsidRPr="00A94C13">
        <w:t xml:space="preserve"> </w:t>
      </w:r>
      <w:r w:rsidR="00A83C55" w:rsidRPr="00A94C13">
        <w:sym w:font="Wingdings" w:char="F0E8"/>
      </w:r>
      <w:r w:rsidR="00EC659C">
        <w:t xml:space="preserve"> präi</w:t>
      </w:r>
      <w:r w:rsidRPr="00A94C13">
        <w:t>nterventionelle</w:t>
      </w:r>
      <w:r w:rsidR="00EC659C">
        <w:t>/präoperative</w:t>
      </w:r>
      <w:r w:rsidRPr="00A94C13">
        <w:t xml:space="preserve"> Ver</w:t>
      </w:r>
      <w:r w:rsidR="00317FCC" w:rsidRPr="00A94C13">
        <w:t xml:space="preserve">ordnungen </w:t>
      </w:r>
      <w:r w:rsidR="00A94C13">
        <w:t xml:space="preserve"> </w:t>
      </w:r>
      <w:r w:rsidR="00A94C13" w:rsidRPr="00EC659C">
        <w:rPr>
          <w:b/>
        </w:rPr>
        <w:t>(</w:t>
      </w:r>
      <w:r w:rsidR="00A94C13">
        <w:t>= Weglassen der Morgendosis) klar verfassen</w:t>
      </w:r>
      <w:r w:rsidR="00317FCC" w:rsidRPr="00A94C13">
        <w:t>.</w:t>
      </w:r>
    </w:p>
    <w:p w:rsidR="006B4D3F" w:rsidRDefault="006B4D3F" w:rsidP="006B4D3F">
      <w:pPr>
        <w:autoSpaceDE w:val="0"/>
        <w:autoSpaceDN w:val="0"/>
        <w:adjustRightInd w:val="0"/>
        <w:spacing w:line="240" w:lineRule="auto"/>
      </w:pPr>
    </w:p>
    <w:p w:rsidR="006B4D3F" w:rsidRPr="00317FCC" w:rsidRDefault="006B4D3F" w:rsidP="006B4D3F">
      <w:pPr>
        <w:autoSpaceDE w:val="0"/>
        <w:autoSpaceDN w:val="0"/>
        <w:adjustRightInd w:val="0"/>
        <w:spacing w:line="240" w:lineRule="auto"/>
      </w:pPr>
    </w:p>
    <w:p w:rsidR="008472A2" w:rsidRDefault="000B3A6E" w:rsidP="0090028F">
      <w:pPr>
        <w:numPr>
          <w:ilvl w:val="0"/>
          <w:numId w:val="6"/>
        </w:numPr>
        <w:rPr>
          <w:b/>
        </w:rPr>
      </w:pPr>
      <w:r>
        <w:rPr>
          <w:b/>
        </w:rPr>
        <w:t xml:space="preserve">Enoxaparine </w:t>
      </w:r>
      <w:r w:rsidRPr="000B3A6E">
        <w:rPr>
          <w:rFonts w:cs="Arial"/>
          <w:b/>
          <w:szCs w:val="20"/>
        </w:rPr>
        <w:t>(Clexane</w:t>
      </w:r>
      <w:r w:rsidRPr="000B3A6E">
        <w:rPr>
          <w:rFonts w:cs="Arial"/>
          <w:b/>
          <w:szCs w:val="20"/>
          <w:vertAlign w:val="superscript"/>
        </w:rPr>
        <w:t>®</w:t>
      </w:r>
      <w:r w:rsidRPr="000B3A6E">
        <w:rPr>
          <w:rFonts w:cs="Arial"/>
          <w:b/>
          <w:szCs w:val="20"/>
        </w:rPr>
        <w:t>)</w:t>
      </w:r>
      <w:r w:rsidR="008472A2" w:rsidRPr="008472A2">
        <w:rPr>
          <w:b/>
        </w:rPr>
        <w:t xml:space="preserve"> in </w:t>
      </w:r>
      <w:r w:rsidR="00E578BA" w:rsidRPr="00E578BA">
        <w:rPr>
          <w:b/>
          <w:u w:val="single"/>
        </w:rPr>
        <w:t>therapeutischer</w:t>
      </w:r>
      <w:r w:rsidR="0090028F">
        <w:rPr>
          <w:b/>
        </w:rPr>
        <w:t xml:space="preserve"> </w:t>
      </w:r>
      <w:r w:rsidR="008472A2" w:rsidRPr="008472A2">
        <w:rPr>
          <w:b/>
        </w:rPr>
        <w:t>Dosierung</w:t>
      </w:r>
    </w:p>
    <w:p w:rsidR="00A83C55" w:rsidRDefault="00A83C55" w:rsidP="00A83C55">
      <w:pPr>
        <w:ind w:left="360"/>
        <w:rPr>
          <w:b/>
        </w:rPr>
      </w:pPr>
    </w:p>
    <w:p w:rsidR="00356A7C" w:rsidRDefault="00A83C55" w:rsidP="00CA1539">
      <w:r>
        <w:t>M</w:t>
      </w:r>
      <w:r w:rsidR="00DA02C3">
        <w:t>angel</w:t>
      </w:r>
      <w:r>
        <w:t>s genauer Dosierungsvorschriften lauten</w:t>
      </w:r>
      <w:r w:rsidR="00DA02C3">
        <w:t xml:space="preserve"> die Empfehlungen der ACCC (American College of Ches</w:t>
      </w:r>
      <w:r>
        <w:t>t Physicians)</w:t>
      </w:r>
      <w:r w:rsidR="00DA02C3">
        <w:t>, das</w:t>
      </w:r>
      <w:r w:rsidR="00321985">
        <w:t>s</w:t>
      </w:r>
      <w:r w:rsidR="00DA02C3">
        <w:t xml:space="preserve"> bei adipösen Patienten </w:t>
      </w:r>
      <w:r w:rsidR="00321985">
        <w:t>der Faktor Anti Xa-Wert beim Einsatz therapeutischer Dosierungen der LMWH monitorisiert werden soll.</w:t>
      </w:r>
    </w:p>
    <w:p w:rsidR="00423673" w:rsidRDefault="00423673" w:rsidP="00CA1539"/>
    <w:p w:rsidR="00356A7C" w:rsidRPr="00E578BA" w:rsidRDefault="00227319" w:rsidP="00423673">
      <w:pPr>
        <w:ind w:left="709"/>
      </w:pPr>
      <w:r w:rsidRPr="00E578BA">
        <w:t>Dosierung gemäss aktuellem Körpergewicht (TBW)</w:t>
      </w:r>
      <w:r w:rsidR="00356A7C" w:rsidRPr="00E578BA">
        <w:t xml:space="preserve"> und</w:t>
      </w:r>
      <w:r w:rsidR="00E578BA">
        <w:t xml:space="preserve"> Intervall</w:t>
      </w:r>
      <w:r w:rsidR="00356A7C" w:rsidRPr="00E578BA">
        <w:t xml:space="preserve"> </w:t>
      </w:r>
      <w:r w:rsidR="00E578BA">
        <w:t>je nach Risikoprofil</w:t>
      </w:r>
      <w:r w:rsidR="00E578BA" w:rsidRPr="00A83C55">
        <w:rPr>
          <w:b/>
        </w:rPr>
        <w:t>*</w:t>
      </w:r>
      <w:r w:rsidR="00356A7C" w:rsidRPr="00E578BA">
        <w:t>:</w:t>
      </w:r>
    </w:p>
    <w:p w:rsidR="00227319" w:rsidRPr="00E578BA" w:rsidRDefault="00356A7C" w:rsidP="00423673">
      <w:pPr>
        <w:ind w:left="709"/>
      </w:pPr>
      <w:r w:rsidRPr="00E578BA">
        <w:t>1mg/kgKG ein- oder zweimal tgl. sc.</w:t>
      </w:r>
    </w:p>
    <w:p w:rsidR="00AD7F44" w:rsidRDefault="00AD7F44" w:rsidP="00CA1539">
      <w:pPr>
        <w:rPr>
          <w:b/>
        </w:rPr>
      </w:pPr>
    </w:p>
    <w:p w:rsidR="00A83C55" w:rsidRDefault="00A83C55" w:rsidP="00A83C55">
      <w:pPr>
        <w:ind w:firstLine="709"/>
        <w:rPr>
          <w:i/>
        </w:rPr>
      </w:pPr>
      <w:r w:rsidRPr="00A83C55">
        <w:rPr>
          <w:b/>
        </w:rPr>
        <w:t>*</w:t>
      </w:r>
      <w:r>
        <w:rPr>
          <w:b/>
        </w:rPr>
        <w:t xml:space="preserve">Risikoprofil: </w:t>
      </w:r>
      <w:r w:rsidRPr="00A83C55">
        <w:t>Sie</w:t>
      </w:r>
      <w:r>
        <w:t>he</w:t>
      </w:r>
      <w:r w:rsidR="00AD7F44" w:rsidRPr="00A83C55">
        <w:t xml:space="preserve"> </w:t>
      </w:r>
      <w:r>
        <w:t>„</w:t>
      </w:r>
      <w:r>
        <w:rPr>
          <w:i/>
        </w:rPr>
        <w:t xml:space="preserve">Perioperatives Management bei Patienten unter oraler Antikoagulation (oAK) </w:t>
      </w:r>
    </w:p>
    <w:p w:rsidR="00AD7F44" w:rsidRPr="00A83C55" w:rsidRDefault="00A83C55" w:rsidP="00A83C55">
      <w:pPr>
        <w:ind w:firstLine="709"/>
        <w:rPr>
          <w:i/>
        </w:rPr>
      </w:pPr>
      <w:r>
        <w:rPr>
          <w:i/>
        </w:rPr>
        <w:t>mit Vitamin K Antagonisten“</w:t>
      </w:r>
    </w:p>
    <w:p w:rsidR="000B3A6E" w:rsidRDefault="000B3A6E" w:rsidP="00CA1539">
      <w:pPr>
        <w:rPr>
          <w:b/>
        </w:rPr>
      </w:pPr>
    </w:p>
    <w:p w:rsidR="00A65990" w:rsidRDefault="00A65990" w:rsidP="00CA1539">
      <w:pPr>
        <w:rPr>
          <w:b/>
        </w:rPr>
      </w:pPr>
      <w:r>
        <w:rPr>
          <w:b/>
        </w:rPr>
        <w:t>Laborkontrollen</w:t>
      </w:r>
    </w:p>
    <w:p w:rsidR="00A83C55" w:rsidRDefault="00A83C55" w:rsidP="00CA1539">
      <w:pPr>
        <w:rPr>
          <w:b/>
        </w:rPr>
      </w:pPr>
    </w:p>
    <w:p w:rsidR="00A65990" w:rsidRDefault="00A65990" w:rsidP="00CA1539">
      <w:r>
        <w:t xml:space="preserve">Bei </w:t>
      </w:r>
      <w:r w:rsidRPr="00A65990">
        <w:rPr>
          <w:b/>
        </w:rPr>
        <w:t>therapeutischem</w:t>
      </w:r>
      <w:r>
        <w:t xml:space="preserve"> Einsatz der LMWH bei adipösen Patienten: Kontrolle des Anti-Faktor Xa (LMWH)-Wertes jeweils 4 Stunden nach subcutaner Applikation, um den </w:t>
      </w:r>
      <w:r w:rsidR="00FF6EE9">
        <w:t>Spitzenspiegel</w:t>
      </w:r>
      <w:r>
        <w:t xml:space="preserve"> zu messen und ggf. Dosierungsanpassungen vorzunehmen.</w:t>
      </w:r>
    </w:p>
    <w:p w:rsidR="006C258B" w:rsidRDefault="006C258B" w:rsidP="00CA1539"/>
    <w:p w:rsidR="00A83C55" w:rsidRDefault="00A65990" w:rsidP="00427645">
      <w:pPr>
        <w:ind w:left="709"/>
      </w:pPr>
      <w:r w:rsidRPr="00A65990">
        <w:rPr>
          <w:b/>
        </w:rPr>
        <w:t>Spezialfall Bridging:</w:t>
      </w:r>
      <w:r>
        <w:t xml:space="preserve"> letzte subcutane LMWH-Applikation </w:t>
      </w:r>
      <w:r>
        <w:rPr>
          <w:rFonts w:cs="Arial"/>
        </w:rPr>
        <w:t>≥</w:t>
      </w:r>
      <w:r>
        <w:t xml:space="preserve"> 24 bis 48h präoperativ (vgl. Dokument „</w:t>
      </w:r>
      <w:r w:rsidR="00FF6EE9">
        <w:t>P</w:t>
      </w:r>
      <w:r>
        <w:t xml:space="preserve">erioperatives Management bei Patienten unter oraler Antikoagulation (oAK) mit Vitamin K Antagonisten). </w:t>
      </w:r>
    </w:p>
    <w:p w:rsidR="00A65990" w:rsidRPr="00427645" w:rsidRDefault="00A65990" w:rsidP="006C258B">
      <w:pPr>
        <w:ind w:left="709"/>
      </w:pPr>
      <w:r w:rsidRPr="00427645">
        <w:t>Bei Eintritt des P</w:t>
      </w:r>
      <w:r w:rsidR="00A83C55" w:rsidRPr="00427645">
        <w:t>atienten am O</w:t>
      </w:r>
      <w:r w:rsidR="00427645" w:rsidRPr="00427645">
        <w:t>P-Tag werden</w:t>
      </w:r>
      <w:r w:rsidRPr="00427645">
        <w:t xml:space="preserve"> Faktor</w:t>
      </w:r>
      <w:r w:rsidR="002D0191" w:rsidRPr="00427645">
        <w:t xml:space="preserve"> Anti</w:t>
      </w:r>
      <w:r w:rsidRPr="00427645">
        <w:t xml:space="preserve"> Xa (LMWH)-Wer</w:t>
      </w:r>
      <w:r w:rsidR="002D0191" w:rsidRPr="00427645">
        <w:t>t</w:t>
      </w:r>
      <w:r w:rsidR="00427645" w:rsidRPr="00427645">
        <w:t xml:space="preserve"> sowie INR</w:t>
      </w:r>
      <w:r w:rsidR="002D0191" w:rsidRPr="00427645">
        <w:t xml:space="preserve"> </w:t>
      </w:r>
      <w:r w:rsidRPr="00427645">
        <w:t>bestimmt. Dies in der Absicht eine präoperative Restwirkung des LMWH</w:t>
      </w:r>
      <w:r w:rsidR="00427645" w:rsidRPr="00427645">
        <w:t xml:space="preserve"> oder einen Marcoumar-Rebound</w:t>
      </w:r>
      <w:r w:rsidRPr="00427645">
        <w:t xml:space="preserve"> auszuschliessen</w:t>
      </w:r>
      <w:r w:rsidR="00B549C9" w:rsidRPr="00427645">
        <w:t>.</w:t>
      </w:r>
    </w:p>
    <w:p w:rsidR="0018112D" w:rsidRDefault="0018112D" w:rsidP="006C258B">
      <w:pPr>
        <w:ind w:left="709"/>
      </w:pPr>
    </w:p>
    <w:p w:rsidR="00B549C9" w:rsidRPr="00B549C9" w:rsidRDefault="00687ACA" w:rsidP="00B549C9">
      <w:r>
        <w:rPr>
          <w:b/>
        </w:rPr>
        <w:t>Grenzwerte: Faktor Anti Xa</w:t>
      </w:r>
      <w:r w:rsidR="0018112D">
        <w:rPr>
          <w:b/>
        </w:rPr>
        <w:t xml:space="preserve"> für Enoxaparin </w:t>
      </w:r>
      <w:r w:rsidR="0018112D" w:rsidRPr="00687ACA">
        <w:t>(Clexane</w:t>
      </w:r>
      <w:r w:rsidR="0018112D" w:rsidRPr="00687ACA">
        <w:rPr>
          <w:rFonts w:cs="Arial"/>
          <w:vertAlign w:val="superscript"/>
        </w:rPr>
        <w:t>®</w:t>
      </w:r>
      <w:r w:rsidR="0018112D" w:rsidRPr="00687ACA">
        <w:t>)</w:t>
      </w:r>
      <w:r w:rsidR="00EE355C">
        <w:rPr>
          <w:b/>
        </w:rPr>
        <w:t xml:space="preserve"> – </w:t>
      </w:r>
      <w:r>
        <w:rPr>
          <w:b/>
        </w:rPr>
        <w:t>Anti Xa E/ml</w:t>
      </w:r>
      <w:r w:rsidR="00B549C9">
        <w:rPr>
          <w:b/>
        </w:rPr>
        <w:t xml:space="preserve">; </w:t>
      </w:r>
      <w:r w:rsidR="00B549C9">
        <w:t xml:space="preserve">(Angaben </w:t>
      </w:r>
      <w:r w:rsidR="00B549C9" w:rsidRPr="00B549C9">
        <w:t>au</w:t>
      </w:r>
      <w:r w:rsidR="00B549C9">
        <w:t>s Literaturstelle 1</w:t>
      </w:r>
      <w:r w:rsidR="00B549C9" w:rsidRPr="00B549C9">
        <w:t>)</w:t>
      </w:r>
    </w:p>
    <w:p w:rsidR="00B549C9" w:rsidRDefault="00B549C9" w:rsidP="0018112D">
      <w:pPr>
        <w:rPr>
          <w:b/>
        </w:rPr>
      </w:pPr>
    </w:p>
    <w:p w:rsidR="00687ACA" w:rsidRDefault="0018112D" w:rsidP="00687ACA">
      <w:pPr>
        <w:numPr>
          <w:ilvl w:val="0"/>
          <w:numId w:val="10"/>
        </w:numPr>
        <w:rPr>
          <w:b/>
        </w:rPr>
      </w:pPr>
      <w:r w:rsidRPr="00687ACA">
        <w:rPr>
          <w:b/>
        </w:rPr>
        <w:t>Blutentnahme</w:t>
      </w:r>
      <w:r w:rsidR="00EE355C" w:rsidRPr="00687ACA">
        <w:rPr>
          <w:b/>
        </w:rPr>
        <w:t xml:space="preserve"> jewe</w:t>
      </w:r>
      <w:r w:rsidR="00687ACA" w:rsidRPr="00687ACA">
        <w:rPr>
          <w:b/>
        </w:rPr>
        <w:t>i</w:t>
      </w:r>
      <w:r w:rsidR="00EE355C" w:rsidRPr="00687ACA">
        <w:rPr>
          <w:b/>
        </w:rPr>
        <w:t>ls</w:t>
      </w:r>
      <w:r w:rsidRPr="00687ACA">
        <w:rPr>
          <w:b/>
        </w:rPr>
        <w:t xml:space="preserve"> 4 h nach sc Applikation (</w:t>
      </w:r>
      <w:r w:rsidR="00EC659C">
        <w:rPr>
          <w:b/>
        </w:rPr>
        <w:t xml:space="preserve">= </w:t>
      </w:r>
      <w:r w:rsidRPr="00687ACA">
        <w:rPr>
          <w:b/>
        </w:rPr>
        <w:t>Spitzenspiegel)</w:t>
      </w:r>
    </w:p>
    <w:p w:rsidR="00B549C9" w:rsidRPr="00687ACA" w:rsidRDefault="00B549C9" w:rsidP="00B549C9">
      <w:pPr>
        <w:ind w:left="360"/>
        <w:rPr>
          <w:b/>
        </w:rPr>
      </w:pPr>
    </w:p>
    <w:p w:rsidR="00B549C9" w:rsidRPr="00B549C9" w:rsidRDefault="0018112D" w:rsidP="006B4D3F">
      <w:pPr>
        <w:numPr>
          <w:ilvl w:val="0"/>
          <w:numId w:val="3"/>
        </w:numPr>
      </w:pPr>
      <w:r w:rsidRPr="00B549C9">
        <w:rPr>
          <w:b/>
        </w:rPr>
        <w:t>Therapeutische Applikation 2 x tgl.:</w:t>
      </w:r>
      <w:r>
        <w:t xml:space="preserve"> 0.6 – 1.0 </w:t>
      </w:r>
      <w:r w:rsidR="00687ACA">
        <w:t xml:space="preserve">Anti Xa </w:t>
      </w:r>
      <w:r>
        <w:t>E/ml</w:t>
      </w:r>
      <w:r w:rsidR="00B549C9">
        <w:t xml:space="preserve"> </w:t>
      </w:r>
    </w:p>
    <w:p w:rsidR="00B549C9" w:rsidRDefault="0018112D" w:rsidP="00B549C9">
      <w:pPr>
        <w:numPr>
          <w:ilvl w:val="0"/>
          <w:numId w:val="3"/>
        </w:numPr>
      </w:pPr>
      <w:r w:rsidRPr="00B549C9">
        <w:rPr>
          <w:b/>
        </w:rPr>
        <w:t>Therapeutische Applikatio</w:t>
      </w:r>
      <w:r w:rsidR="00EE355C" w:rsidRPr="00B549C9">
        <w:rPr>
          <w:b/>
        </w:rPr>
        <w:t>n 1 x tgl.</w:t>
      </w:r>
      <w:r w:rsidR="00687ACA" w:rsidRPr="00B549C9">
        <w:rPr>
          <w:b/>
        </w:rPr>
        <w:t xml:space="preserve">: </w:t>
      </w:r>
      <w:r w:rsidR="00EE355C">
        <w:t xml:space="preserve"> &gt; 1.0 </w:t>
      </w:r>
      <w:r w:rsidR="00687ACA">
        <w:t>Anti Xa E/</w:t>
      </w:r>
      <w:r w:rsidR="00687ACA" w:rsidRPr="00B549C9">
        <w:t xml:space="preserve">ml </w:t>
      </w:r>
    </w:p>
    <w:p w:rsidR="0018112D" w:rsidRPr="00FF6EE9" w:rsidRDefault="0018112D" w:rsidP="0018112D">
      <w:pPr>
        <w:numPr>
          <w:ilvl w:val="0"/>
          <w:numId w:val="3"/>
        </w:numPr>
      </w:pPr>
      <w:r w:rsidRPr="00B549C9">
        <w:rPr>
          <w:b/>
        </w:rPr>
        <w:t>Prophylaktische Applikation:</w:t>
      </w:r>
      <w:r>
        <w:t xml:space="preserve"> optimale Spitzenspiegel nicht bekannt, da normalerweise ein Monitoring hier nicht durchgeführt werden muss. Akzeptiert werden aber folgende Werte: 0.2 – 0.4E/ml</w:t>
      </w:r>
    </w:p>
    <w:p w:rsidR="00EE355C" w:rsidRDefault="00EE355C" w:rsidP="00CA1539">
      <w:pPr>
        <w:rPr>
          <w:b/>
        </w:rPr>
      </w:pPr>
    </w:p>
    <w:p w:rsidR="00AD7F44" w:rsidRDefault="00AD7F44" w:rsidP="00CA1539">
      <w:r>
        <w:rPr>
          <w:b/>
        </w:rPr>
        <w:t xml:space="preserve">Kontraindikationen für den Einsatz von LMWH </w:t>
      </w:r>
      <w:r>
        <w:t>(Auswahl)</w:t>
      </w:r>
    </w:p>
    <w:p w:rsidR="00FC1D31" w:rsidRPr="00AD7F44" w:rsidRDefault="00FC1D31" w:rsidP="00CA1539"/>
    <w:p w:rsidR="00AD7F44" w:rsidRDefault="00AD7F44" w:rsidP="00AD7F44">
      <w:r>
        <w:t>Relative:</w:t>
      </w:r>
    </w:p>
    <w:p w:rsidR="00AD7F44" w:rsidRDefault="00AD7F44" w:rsidP="00AD7F44">
      <w:pPr>
        <w:numPr>
          <w:ilvl w:val="0"/>
          <w:numId w:val="5"/>
        </w:numPr>
      </w:pPr>
      <w:r>
        <w:t xml:space="preserve">Leichte bis mittelschwere Niereninsuffizienz (Kreatinin-Clearance </w:t>
      </w:r>
      <w:r>
        <w:rPr>
          <w:rFonts w:cs="Arial"/>
        </w:rPr>
        <w:t>≥</w:t>
      </w:r>
      <w:r>
        <w:t xml:space="preserve"> 35ml/min); regelmässige Kreatinin-Kontrollen, ggf.  Enoxaparin-Spiegelbestimmungen</w:t>
      </w:r>
      <w:r w:rsidR="008A5A64">
        <w:t xml:space="preserve"> und entsprechend Dosisanpassung.</w:t>
      </w:r>
    </w:p>
    <w:p w:rsidR="00AD7F44" w:rsidRDefault="00AD7F44" w:rsidP="00AD7F44">
      <w:r>
        <w:t>Absolute:</w:t>
      </w:r>
    </w:p>
    <w:p w:rsidR="00AD7F44" w:rsidRPr="00AD7F44" w:rsidRDefault="00AD7F44" w:rsidP="00AD7F44">
      <w:pPr>
        <w:numPr>
          <w:ilvl w:val="0"/>
          <w:numId w:val="5"/>
        </w:numPr>
      </w:pPr>
      <w:r>
        <w:t>Schwere Niereninsuffizienz (Kreatinin-Clearance &lt; 35ml/min): kein Einsatz von LMWH</w:t>
      </w:r>
    </w:p>
    <w:p w:rsidR="00427645" w:rsidRDefault="00427645" w:rsidP="00CA1539">
      <w:pPr>
        <w:rPr>
          <w:b/>
        </w:rPr>
      </w:pPr>
    </w:p>
    <w:p w:rsidR="006B4D3F" w:rsidRDefault="006B4D3F" w:rsidP="00CA1539">
      <w:pPr>
        <w:rPr>
          <w:b/>
        </w:rPr>
      </w:pPr>
    </w:p>
    <w:p w:rsidR="006B4D3F" w:rsidRDefault="006B4D3F" w:rsidP="00CA1539">
      <w:pPr>
        <w:rPr>
          <w:b/>
        </w:rPr>
      </w:pPr>
    </w:p>
    <w:p w:rsidR="006B4D3F" w:rsidRDefault="006B4D3F" w:rsidP="00CA1539">
      <w:pPr>
        <w:rPr>
          <w:b/>
        </w:rPr>
      </w:pPr>
    </w:p>
    <w:p w:rsidR="008472A2" w:rsidRDefault="008472A2" w:rsidP="00CA1539">
      <w:pPr>
        <w:rPr>
          <w:b/>
        </w:rPr>
      </w:pPr>
      <w:r>
        <w:rPr>
          <w:b/>
        </w:rPr>
        <w:t>Literatur:</w:t>
      </w:r>
    </w:p>
    <w:p w:rsidR="008472A2" w:rsidRPr="008472A2" w:rsidRDefault="008472A2" w:rsidP="00EE355C">
      <w:pPr>
        <w:numPr>
          <w:ilvl w:val="0"/>
          <w:numId w:val="9"/>
        </w:numPr>
        <w:rPr>
          <w:rFonts w:cs="Arial"/>
          <w:szCs w:val="20"/>
          <w:lang w:val="fr-CH"/>
        </w:rPr>
      </w:pPr>
      <w:r w:rsidRPr="00E715B9">
        <w:rPr>
          <w:lang w:val="fr-CH"/>
        </w:rPr>
        <w:lastRenderedPageBreak/>
        <w:t>Parenteral Anticoagulants; Antithrombotic Therapy and Prevention of Thrombosis, 9th ed: American College of C</w:t>
      </w:r>
      <w:r w:rsidRPr="008472A2">
        <w:rPr>
          <w:lang w:val="fr-CH"/>
        </w:rPr>
        <w:t>hest Physicians Evidence-Based Clinical Practice Guidelines</w:t>
      </w:r>
      <w:r>
        <w:rPr>
          <w:lang w:val="fr-CH"/>
        </w:rPr>
        <w:t xml:space="preserve"> CHEST 2012 ; 141 (2)(Suppl): e24S-e43S</w:t>
      </w:r>
    </w:p>
    <w:p w:rsidR="008472A2" w:rsidRDefault="008472A2" w:rsidP="00EE355C">
      <w:pPr>
        <w:numPr>
          <w:ilvl w:val="0"/>
          <w:numId w:val="9"/>
        </w:numPr>
        <w:spacing w:line="240" w:lineRule="auto"/>
        <w:rPr>
          <w:rFonts w:cs="Arial"/>
          <w:szCs w:val="20"/>
          <w:lang w:val="fr-CH"/>
        </w:rPr>
      </w:pPr>
      <w:r>
        <w:rPr>
          <w:rFonts w:cs="Arial"/>
          <w:szCs w:val="20"/>
          <w:lang w:val="fr-CH"/>
        </w:rPr>
        <w:t>Using low molecular weihgt heparin in special populations ; W. Lim ; J Thromb Thrombolysis (2010) 29: 233-40</w:t>
      </w:r>
    </w:p>
    <w:p w:rsidR="00CE0396" w:rsidRDefault="00CE0396" w:rsidP="00EE355C">
      <w:pPr>
        <w:numPr>
          <w:ilvl w:val="0"/>
          <w:numId w:val="9"/>
        </w:numPr>
        <w:spacing w:line="240" w:lineRule="auto"/>
        <w:rPr>
          <w:rFonts w:cs="Arial"/>
          <w:szCs w:val="20"/>
          <w:lang w:val="fr-CH"/>
        </w:rPr>
      </w:pPr>
      <w:r>
        <w:rPr>
          <w:rFonts w:cs="Arial"/>
          <w:szCs w:val="20"/>
          <w:lang w:val="fr-CH"/>
        </w:rPr>
        <w:t>Safety and efficacy of unfractionated heparin versus enoxap</w:t>
      </w:r>
      <w:r w:rsidR="00A202FF">
        <w:rPr>
          <w:rFonts w:cs="Arial"/>
          <w:szCs w:val="20"/>
          <w:lang w:val="fr-CH"/>
        </w:rPr>
        <w:t>a</w:t>
      </w:r>
      <w:r>
        <w:rPr>
          <w:rFonts w:cs="Arial"/>
          <w:szCs w:val="20"/>
          <w:lang w:val="fr-CH"/>
        </w:rPr>
        <w:t>rin in patients who are obese and patients with severe renal impairment : Analysis from ESSENCE and TIMI 11B studies ; Spinler S. et al. Am Heart J 146 :33-41</w:t>
      </w:r>
    </w:p>
    <w:p w:rsidR="008472A2" w:rsidRDefault="002447FC" w:rsidP="00EE355C">
      <w:pPr>
        <w:numPr>
          <w:ilvl w:val="0"/>
          <w:numId w:val="9"/>
        </w:numPr>
        <w:rPr>
          <w:rFonts w:cs="Arial"/>
          <w:szCs w:val="20"/>
          <w:lang w:val="fr-CH"/>
        </w:rPr>
      </w:pPr>
      <w:r>
        <w:rPr>
          <w:rFonts w:cs="Arial"/>
          <w:szCs w:val="20"/>
          <w:lang w:val="fr-CH"/>
        </w:rPr>
        <w:t>Efficacy an</w:t>
      </w:r>
      <w:r w:rsidR="008472A2">
        <w:rPr>
          <w:rFonts w:cs="Arial"/>
          <w:szCs w:val="20"/>
          <w:lang w:val="fr-CH"/>
        </w:rPr>
        <w:t>d safety of weight-adjusted heparin prophylaxis for the prevention of acute venous thromboebolism among obese patiente undergoing bariatric surgery : A systematic review and meta-analysis ; R. Ikesaka et al, Thrombosis Research 133 (2014) 682-687</w:t>
      </w:r>
    </w:p>
    <w:p w:rsidR="00AD78CF" w:rsidRDefault="00AD78CF" w:rsidP="00EE355C">
      <w:pPr>
        <w:numPr>
          <w:ilvl w:val="0"/>
          <w:numId w:val="9"/>
        </w:numPr>
        <w:rPr>
          <w:rFonts w:cs="Arial"/>
          <w:szCs w:val="20"/>
          <w:lang w:val="fr-CH"/>
        </w:rPr>
      </w:pPr>
      <w:r>
        <w:rPr>
          <w:rFonts w:cs="Arial"/>
          <w:szCs w:val="20"/>
          <w:lang w:val="fr-CH"/>
        </w:rPr>
        <w:t>Thrombosis prophylaxis in bariatric surgery. Evaluation of the situation ans practical re</w:t>
      </w:r>
      <w:r w:rsidR="00A202FF">
        <w:rPr>
          <w:rFonts w:cs="Arial"/>
          <w:szCs w:val="20"/>
          <w:lang w:val="fr-CH"/>
        </w:rPr>
        <w:t>commendations; Utzolio S. et al</w:t>
      </w:r>
      <w:r>
        <w:rPr>
          <w:rFonts w:cs="Arial"/>
          <w:szCs w:val="20"/>
          <w:lang w:val="fr-CH"/>
        </w:rPr>
        <w:t>, Phlebologie 2/2013</w:t>
      </w:r>
    </w:p>
    <w:p w:rsidR="00AD78CF" w:rsidRPr="00AD78CF" w:rsidRDefault="00AD78CF" w:rsidP="00EE355C">
      <w:pPr>
        <w:numPr>
          <w:ilvl w:val="0"/>
          <w:numId w:val="9"/>
        </w:numPr>
        <w:rPr>
          <w:rFonts w:cs="Arial"/>
          <w:szCs w:val="20"/>
        </w:rPr>
      </w:pPr>
      <w:r w:rsidRPr="00AD78CF">
        <w:rPr>
          <w:rFonts w:cs="Arial"/>
          <w:szCs w:val="20"/>
        </w:rPr>
        <w:t>Prevention of venous thromboembolism in obesity : Freeman A.L.</w:t>
      </w:r>
      <w:r>
        <w:rPr>
          <w:rFonts w:cs="Arial"/>
          <w:szCs w:val="20"/>
        </w:rPr>
        <w:t xml:space="preserve"> et al., Expert Rev Cardiovasc Ther: 2010 December; 8(12): 1711-21</w:t>
      </w:r>
      <w:r w:rsidRPr="00AD78CF">
        <w:rPr>
          <w:rFonts w:cs="Arial"/>
          <w:szCs w:val="20"/>
        </w:rPr>
        <w:t xml:space="preserve"> </w:t>
      </w:r>
    </w:p>
    <w:p w:rsidR="00CA1539" w:rsidRPr="00AD78CF" w:rsidRDefault="00CA1539" w:rsidP="001163C1">
      <w:pPr>
        <w:pStyle w:val="FormatvorlageArial10ptVor150pt"/>
        <w:spacing w:before="0"/>
        <w:rPr>
          <w:rFonts w:cs="Arial"/>
        </w:rPr>
      </w:pPr>
    </w:p>
    <w:sectPr w:rsidR="00CA1539" w:rsidRPr="00AD78CF" w:rsidSect="006B4D3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304" w:right="964" w:bottom="1134" w:left="1418" w:header="82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5D" w:rsidRDefault="00AB735D">
      <w:r>
        <w:separator/>
      </w:r>
    </w:p>
  </w:endnote>
  <w:endnote w:type="continuationSeparator" w:id="0">
    <w:p w:rsidR="00AB735D" w:rsidRDefault="00AB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22" w:rsidRPr="006850BA" w:rsidRDefault="00E715B9" w:rsidP="006850BA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-413321811"/>
      </w:sdtPr>
      <w:sdtEndPr/>
      <w:sdtContent>
        <w:r>
          <w:rPr>
            <w:color w:val="000000"/>
            <w:sz w:val="14"/>
          </w:rPr>
          <w:t>Perioperative oder – interventionelle Dosierung niedermolekularer Heparine (LMWH) bei adipösen Patienten (BMI ≥ 30) 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2038103487"/>
      </w:sdtPr>
      <w:sdtEndPr/>
      <w:sdtContent>
        <w:r>
          <w:rPr>
            <w:color w:val="000000"/>
            <w:sz w:val="14"/>
          </w:rPr>
          <w:t>1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-1370839569"/>
      </w:sdtPr>
      <w:sdtEndPr/>
      <w:sdtContent>
        <w:r>
          <w:rPr>
            <w:color w:val="000000"/>
            <w:sz w:val="14"/>
          </w:rPr>
          <w:t>26.01.2018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786088455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sz w:val="14"/>
          </w:rPr>
          <w:t>sabine.moor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3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3</w:t>
    </w:r>
    <w:r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22" w:rsidRPr="0096312E" w:rsidRDefault="00E715B9" w:rsidP="0096312E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149575068"/>
      </w:sdtPr>
      <w:sdtEndPr/>
      <w:sdtContent>
        <w:r>
          <w:rPr>
            <w:color w:val="000000"/>
            <w:sz w:val="14"/>
          </w:rPr>
          <w:t>Perioperative oder – interventionelle Dosierung niedermolekularer Heparine (LMWH) bei adipösen Patienten (BMI ≥ 30) 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320269985"/>
      </w:sdtPr>
      <w:sdtEndPr/>
      <w:sdtContent>
        <w:r>
          <w:rPr>
            <w:color w:val="000000"/>
            <w:sz w:val="14"/>
          </w:rPr>
          <w:t>1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-209659456"/>
      </w:sdtPr>
      <w:sdtEndPr/>
      <w:sdtContent>
        <w:r>
          <w:rPr>
            <w:color w:val="000000"/>
            <w:sz w:val="14"/>
          </w:rPr>
          <w:t>26.01.2018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-209770464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sz w:val="14"/>
          </w:rPr>
          <w:t>sabine.moor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3</w:t>
    </w:r>
    <w:r>
      <w:rPr>
        <w:noProof/>
        <w:color w:val="00000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5D" w:rsidRDefault="00AB735D">
      <w:r>
        <w:separator/>
      </w:r>
    </w:p>
  </w:footnote>
  <w:footnote w:type="continuationSeparator" w:id="0">
    <w:p w:rsidR="00AB735D" w:rsidRDefault="00AB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52" w:rsidRDefault="00E715B9">
    <w:pPr>
      <w:tabs>
        <w:tab w:val="center" w:pos="4536"/>
        <w:tab w:val="right" w:pos="9072"/>
      </w:tabs>
      <w:adjustRightInd w:val="0"/>
      <w:spacing w:line="240" w:lineRule="auto"/>
      <w:textAlignment w:val="bottom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04" w:rsidRDefault="00E715B9" w:rsidP="00BA6EBE">
    <w:pPr>
      <w:tabs>
        <w:tab w:val="center" w:pos="4536"/>
        <w:tab w:val="right" w:pos="9072"/>
      </w:tabs>
      <w:adjustRightInd w:val="0"/>
      <w:spacing w:line="1400" w:lineRule="exact"/>
      <w:textAlignment w:val="bottom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74624" behindDoc="0" locked="1" layoutInCell="1" allowOverlap="1" wp14:anchorId="7E38C432" wp14:editId="62CBBAC2">
          <wp:simplePos x="0" y="0"/>
          <wp:positionH relativeFrom="page">
            <wp:posOffset>3935095</wp:posOffset>
          </wp:positionH>
          <wp:positionV relativeFrom="page">
            <wp:posOffset>254635</wp:posOffset>
          </wp:positionV>
          <wp:extent cx="1426845" cy="401955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3CC88369" wp14:editId="7366324D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</w:rPr>
                            <w:alias w:val="Fachbereich"/>
                            <w:tag w:val="Fachbereich"/>
                            <w:id w:val="1346442865"/>
                          </w:sdtPr>
                          <w:sdtEndPr/>
                          <w:sdtContent>
                            <w:p w:rsidR="00BA22F3" w:rsidRDefault="00E715B9">
                              <w:pPr>
                                <w:tabs>
                                  <w:tab w:val="center" w:pos="4536"/>
                                  <w:tab w:val="right" w:pos="9072"/>
                                </w:tabs>
                                <w:adjustRightInd w:val="0"/>
                                <w:spacing w:line="220" w:lineRule="exact"/>
                                <w:textAlignment w:val="bottom"/>
                                <w:rPr>
                                  <w:b/>
                                  <w:color w:val="6B7278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>POM</w:t>
                              </w:r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br/>
                                <w:t>Anästhesie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439.45pt;margin-top:69.7pt;width:128.6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" filled="f" stroked="f" strokeweight=".5pt">
              <v:textbox inset="0,0,0,0">
                <w:txbxContent>
                  <w:sdt>
                    <w:sdtPr>
                      <w:rPr>
                        <w:color w:val="000000"/>
                      </w:rPr>
                      <w:alias w:val="Fachbereich"/>
                      <w:tag w:val="Fachbereich"/>
                      <w:id w:val="1346442865"/>
                    </w:sdtPr>
                    <w:sdtEndPr/>
                    <w:sdtContent>
                      <w:p w:rsidR="00BA22F3" w:rsidRDefault="00E715B9">
                        <w:pPr>
                          <w:tabs>
                            <w:tab w:val="center" w:pos="4536"/>
                            <w:tab w:val="right" w:pos="9072"/>
                          </w:tabs>
                          <w:adjustRightInd w:val="0"/>
                          <w:spacing w:line="220" w:lineRule="exact"/>
                          <w:textAlignment w:val="bottom"/>
                          <w:rPr>
                            <w:b/>
                            <w:color w:val="6B7278"/>
                            <w:sz w:val="16"/>
                          </w:rPr>
                        </w:pPr>
                        <w:r>
                          <w:rPr>
                            <w:b/>
                            <w:color w:val="6B7278"/>
                            <w:sz w:val="16"/>
                          </w:rPr>
                          <w:t>POM</w:t>
                        </w:r>
                        <w:r>
                          <w:rPr>
                            <w:b/>
                            <w:color w:val="6B7278"/>
                            <w:sz w:val="16"/>
                          </w:rPr>
                          <w:br/>
                          <w:t>Anästhesie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7215" behindDoc="0" locked="1" layoutInCell="1" allowOverlap="1" wp14:anchorId="32A4A80A" wp14:editId="71CF490B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1312" behindDoc="0" locked="1" layoutInCell="1" allowOverlap="1" wp14:anchorId="38321ACA" wp14:editId="753A9185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9FB"/>
    <w:multiLevelType w:val="hybridMultilevel"/>
    <w:tmpl w:val="C23AE3AA"/>
    <w:lvl w:ilvl="0" w:tplc="9E7EF19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E4D7A"/>
    <w:multiLevelType w:val="hybridMultilevel"/>
    <w:tmpl w:val="51547AEC"/>
    <w:lvl w:ilvl="0" w:tplc="0BA6523C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43BC0"/>
    <w:multiLevelType w:val="hybridMultilevel"/>
    <w:tmpl w:val="EF2883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7D5"/>
    <w:multiLevelType w:val="hybridMultilevel"/>
    <w:tmpl w:val="A4F26892"/>
    <w:lvl w:ilvl="0" w:tplc="3F6227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7686E"/>
    <w:multiLevelType w:val="hybridMultilevel"/>
    <w:tmpl w:val="4D8C4654"/>
    <w:lvl w:ilvl="0" w:tplc="A068503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97551"/>
    <w:multiLevelType w:val="hybridMultilevel"/>
    <w:tmpl w:val="D7348D86"/>
    <w:lvl w:ilvl="0" w:tplc="9E7EF19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4E5776"/>
    <w:multiLevelType w:val="hybridMultilevel"/>
    <w:tmpl w:val="79029F86"/>
    <w:lvl w:ilvl="0" w:tplc="BD7A9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74C96"/>
    <w:multiLevelType w:val="hybridMultilevel"/>
    <w:tmpl w:val="3376828A"/>
    <w:lvl w:ilvl="0" w:tplc="9E7EF19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6B619C"/>
    <w:multiLevelType w:val="hybridMultilevel"/>
    <w:tmpl w:val="D2E0890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C26512"/>
    <w:multiLevelType w:val="hybridMultilevel"/>
    <w:tmpl w:val="4830E582"/>
    <w:lvl w:ilvl="0" w:tplc="44722C2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3DC1BE5"/>
    <w:multiLevelType w:val="hybridMultilevel"/>
    <w:tmpl w:val="228A6C6C"/>
    <w:lvl w:ilvl="0" w:tplc="96AE17A2">
      <w:numFmt w:val="bullet"/>
      <w:lvlText w:val=""/>
      <w:lvlJc w:val="left"/>
      <w:pPr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3EF64DC"/>
    <w:multiLevelType w:val="hybridMultilevel"/>
    <w:tmpl w:val="3EF4AB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C43B2"/>
    <w:multiLevelType w:val="hybridMultilevel"/>
    <w:tmpl w:val="66A097AC"/>
    <w:lvl w:ilvl="0" w:tplc="9E7EF19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B72A24"/>
    <w:multiLevelType w:val="hybridMultilevel"/>
    <w:tmpl w:val="A55A07F8"/>
    <w:lvl w:ilvl="0" w:tplc="D33C23FA">
      <w:numFmt w:val="bullet"/>
      <w:lvlText w:val=""/>
      <w:lvlJc w:val="left"/>
      <w:pPr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E3"/>
    <w:rsid w:val="000045FD"/>
    <w:rsid w:val="00006C8E"/>
    <w:rsid w:val="000101E4"/>
    <w:rsid w:val="00023EA4"/>
    <w:rsid w:val="00024C80"/>
    <w:rsid w:val="00042E56"/>
    <w:rsid w:val="000775EB"/>
    <w:rsid w:val="0008467D"/>
    <w:rsid w:val="000A6114"/>
    <w:rsid w:val="000A6688"/>
    <w:rsid w:val="000B3A6E"/>
    <w:rsid w:val="000B517C"/>
    <w:rsid w:val="000D4EAD"/>
    <w:rsid w:val="000E4040"/>
    <w:rsid w:val="000E501E"/>
    <w:rsid w:val="000F6E77"/>
    <w:rsid w:val="001163C1"/>
    <w:rsid w:val="00133EF2"/>
    <w:rsid w:val="00145039"/>
    <w:rsid w:val="00147F8B"/>
    <w:rsid w:val="001565BA"/>
    <w:rsid w:val="00166548"/>
    <w:rsid w:val="001744F1"/>
    <w:rsid w:val="0018112D"/>
    <w:rsid w:val="00192229"/>
    <w:rsid w:val="001A405E"/>
    <w:rsid w:val="001C380C"/>
    <w:rsid w:val="001E05A2"/>
    <w:rsid w:val="001E4A83"/>
    <w:rsid w:val="001E6DE7"/>
    <w:rsid w:val="001E7A6D"/>
    <w:rsid w:val="00211E79"/>
    <w:rsid w:val="00227319"/>
    <w:rsid w:val="00243821"/>
    <w:rsid w:val="002447FC"/>
    <w:rsid w:val="0025174B"/>
    <w:rsid w:val="00252F92"/>
    <w:rsid w:val="002862F9"/>
    <w:rsid w:val="002926FB"/>
    <w:rsid w:val="002C2EAC"/>
    <w:rsid w:val="002D0191"/>
    <w:rsid w:val="002D376E"/>
    <w:rsid w:val="002D5B0B"/>
    <w:rsid w:val="002E6488"/>
    <w:rsid w:val="00317FCC"/>
    <w:rsid w:val="00321985"/>
    <w:rsid w:val="003372F5"/>
    <w:rsid w:val="0035443E"/>
    <w:rsid w:val="00356A7C"/>
    <w:rsid w:val="00372C59"/>
    <w:rsid w:val="003904DD"/>
    <w:rsid w:val="00390FB7"/>
    <w:rsid w:val="003E2C62"/>
    <w:rsid w:val="003E7FA4"/>
    <w:rsid w:val="003F27C4"/>
    <w:rsid w:val="003F3C4E"/>
    <w:rsid w:val="0040045C"/>
    <w:rsid w:val="00403711"/>
    <w:rsid w:val="00411192"/>
    <w:rsid w:val="00423673"/>
    <w:rsid w:val="004261E1"/>
    <w:rsid w:val="00427645"/>
    <w:rsid w:val="004630C8"/>
    <w:rsid w:val="00465B4B"/>
    <w:rsid w:val="004709DD"/>
    <w:rsid w:val="00480C92"/>
    <w:rsid w:val="00485388"/>
    <w:rsid w:val="004871B1"/>
    <w:rsid w:val="004B5CEA"/>
    <w:rsid w:val="004C5D1E"/>
    <w:rsid w:val="004D6974"/>
    <w:rsid w:val="004E4A31"/>
    <w:rsid w:val="004F37D2"/>
    <w:rsid w:val="00500A12"/>
    <w:rsid w:val="00516416"/>
    <w:rsid w:val="005406BC"/>
    <w:rsid w:val="0054622F"/>
    <w:rsid w:val="00553474"/>
    <w:rsid w:val="0056001D"/>
    <w:rsid w:val="00582039"/>
    <w:rsid w:val="0058393E"/>
    <w:rsid w:val="00594471"/>
    <w:rsid w:val="005B01A8"/>
    <w:rsid w:val="005B0E77"/>
    <w:rsid w:val="005B46EE"/>
    <w:rsid w:val="005D7F51"/>
    <w:rsid w:val="005F28AF"/>
    <w:rsid w:val="0061071C"/>
    <w:rsid w:val="00615A21"/>
    <w:rsid w:val="0063138A"/>
    <w:rsid w:val="0065278A"/>
    <w:rsid w:val="00687ACA"/>
    <w:rsid w:val="00695E3F"/>
    <w:rsid w:val="006B4D3F"/>
    <w:rsid w:val="006C258B"/>
    <w:rsid w:val="006E2D5B"/>
    <w:rsid w:val="006E4D3E"/>
    <w:rsid w:val="006E5F9F"/>
    <w:rsid w:val="0075635C"/>
    <w:rsid w:val="00761C61"/>
    <w:rsid w:val="00777132"/>
    <w:rsid w:val="007871FE"/>
    <w:rsid w:val="0079007E"/>
    <w:rsid w:val="007A662E"/>
    <w:rsid w:val="007B4A2F"/>
    <w:rsid w:val="007C52E2"/>
    <w:rsid w:val="007D09A8"/>
    <w:rsid w:val="007D4683"/>
    <w:rsid w:val="007D529F"/>
    <w:rsid w:val="007E313C"/>
    <w:rsid w:val="007E6346"/>
    <w:rsid w:val="007F7590"/>
    <w:rsid w:val="0080016B"/>
    <w:rsid w:val="00810BDE"/>
    <w:rsid w:val="0081478C"/>
    <w:rsid w:val="008273B0"/>
    <w:rsid w:val="00830D20"/>
    <w:rsid w:val="00846324"/>
    <w:rsid w:val="008472A2"/>
    <w:rsid w:val="00853378"/>
    <w:rsid w:val="00865F41"/>
    <w:rsid w:val="00881489"/>
    <w:rsid w:val="00883C9F"/>
    <w:rsid w:val="008A5A64"/>
    <w:rsid w:val="008C0F38"/>
    <w:rsid w:val="008C7A92"/>
    <w:rsid w:val="008D6B91"/>
    <w:rsid w:val="008E2C5A"/>
    <w:rsid w:val="008F5C6E"/>
    <w:rsid w:val="0090028F"/>
    <w:rsid w:val="00922216"/>
    <w:rsid w:val="00941BBA"/>
    <w:rsid w:val="00944473"/>
    <w:rsid w:val="00947E11"/>
    <w:rsid w:val="00973884"/>
    <w:rsid w:val="00973FB0"/>
    <w:rsid w:val="009804FA"/>
    <w:rsid w:val="00982572"/>
    <w:rsid w:val="009B06C5"/>
    <w:rsid w:val="009B2AF1"/>
    <w:rsid w:val="009C7A47"/>
    <w:rsid w:val="009C7BF3"/>
    <w:rsid w:val="00A14A74"/>
    <w:rsid w:val="00A202FF"/>
    <w:rsid w:val="00A2333C"/>
    <w:rsid w:val="00A23822"/>
    <w:rsid w:val="00A2465E"/>
    <w:rsid w:val="00A34F68"/>
    <w:rsid w:val="00A4739E"/>
    <w:rsid w:val="00A645F7"/>
    <w:rsid w:val="00A65990"/>
    <w:rsid w:val="00A80639"/>
    <w:rsid w:val="00A83C55"/>
    <w:rsid w:val="00A8402E"/>
    <w:rsid w:val="00A94C13"/>
    <w:rsid w:val="00AB735D"/>
    <w:rsid w:val="00AC08FB"/>
    <w:rsid w:val="00AD59E5"/>
    <w:rsid w:val="00AD78CF"/>
    <w:rsid w:val="00AD7F44"/>
    <w:rsid w:val="00AE1F2B"/>
    <w:rsid w:val="00B2327E"/>
    <w:rsid w:val="00B549C9"/>
    <w:rsid w:val="00B63D26"/>
    <w:rsid w:val="00B7531C"/>
    <w:rsid w:val="00BA22F3"/>
    <w:rsid w:val="00BA70ED"/>
    <w:rsid w:val="00BC73D7"/>
    <w:rsid w:val="00BF2DD9"/>
    <w:rsid w:val="00C0431C"/>
    <w:rsid w:val="00C11B3D"/>
    <w:rsid w:val="00C22530"/>
    <w:rsid w:val="00C41C5A"/>
    <w:rsid w:val="00C55359"/>
    <w:rsid w:val="00C628E2"/>
    <w:rsid w:val="00C82E08"/>
    <w:rsid w:val="00C92212"/>
    <w:rsid w:val="00CA1539"/>
    <w:rsid w:val="00CB0336"/>
    <w:rsid w:val="00CB6FC8"/>
    <w:rsid w:val="00CC1DA3"/>
    <w:rsid w:val="00CE0396"/>
    <w:rsid w:val="00CF228E"/>
    <w:rsid w:val="00D27E99"/>
    <w:rsid w:val="00D50C33"/>
    <w:rsid w:val="00D537B4"/>
    <w:rsid w:val="00D62819"/>
    <w:rsid w:val="00D72EAA"/>
    <w:rsid w:val="00D820F4"/>
    <w:rsid w:val="00D9356A"/>
    <w:rsid w:val="00DA02C3"/>
    <w:rsid w:val="00DA7C09"/>
    <w:rsid w:val="00DC45DF"/>
    <w:rsid w:val="00DE1FAA"/>
    <w:rsid w:val="00E16842"/>
    <w:rsid w:val="00E30A06"/>
    <w:rsid w:val="00E40896"/>
    <w:rsid w:val="00E41DC7"/>
    <w:rsid w:val="00E423AF"/>
    <w:rsid w:val="00E4298C"/>
    <w:rsid w:val="00E578BA"/>
    <w:rsid w:val="00E63630"/>
    <w:rsid w:val="00E66681"/>
    <w:rsid w:val="00E715B9"/>
    <w:rsid w:val="00E93775"/>
    <w:rsid w:val="00EA63DC"/>
    <w:rsid w:val="00EB07EE"/>
    <w:rsid w:val="00EC659C"/>
    <w:rsid w:val="00EE355C"/>
    <w:rsid w:val="00EE4F42"/>
    <w:rsid w:val="00F12357"/>
    <w:rsid w:val="00F24076"/>
    <w:rsid w:val="00F54AB9"/>
    <w:rsid w:val="00F7206C"/>
    <w:rsid w:val="00FA304E"/>
    <w:rsid w:val="00FB05A4"/>
    <w:rsid w:val="00FB43A2"/>
    <w:rsid w:val="00FC1D31"/>
    <w:rsid w:val="00FD304B"/>
    <w:rsid w:val="00FE6AE3"/>
    <w:rsid w:val="00FF1945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6681"/>
    <w:pPr>
      <w:spacing w:line="280" w:lineRule="exact"/>
    </w:pPr>
    <w:rPr>
      <w:rFonts w:ascii="Arial" w:hAnsi="Arial"/>
      <w:szCs w:val="22"/>
    </w:rPr>
  </w:style>
  <w:style w:type="paragraph" w:styleId="berschrift1">
    <w:name w:val="heading 1"/>
    <w:basedOn w:val="Standard"/>
    <w:next w:val="Standard"/>
    <w:qFormat/>
    <w:rsid w:val="00E4298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429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29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CA1539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berschrift9">
    <w:name w:val="heading 9"/>
    <w:basedOn w:val="Standard"/>
    <w:next w:val="Standard"/>
    <w:qFormat/>
    <w:rsid w:val="00CA1539"/>
    <w:pPr>
      <w:spacing w:before="240" w:after="60"/>
      <w:outlineLvl w:val="8"/>
    </w:pPr>
    <w:rPr>
      <w:rFonts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46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467D"/>
    <w:pPr>
      <w:tabs>
        <w:tab w:val="center" w:pos="4536"/>
        <w:tab w:val="right" w:pos="9072"/>
      </w:tabs>
    </w:pPr>
  </w:style>
  <w:style w:type="paragraph" w:customStyle="1" w:styleId="FormatvorlageArial10ptVor150pt">
    <w:name w:val="Formatvorlage Arial 10 pt Vor:  150 pt"/>
    <w:basedOn w:val="Standard"/>
    <w:rsid w:val="002862F9"/>
    <w:pPr>
      <w:spacing w:before="960"/>
    </w:pPr>
    <w:rPr>
      <w:szCs w:val="20"/>
    </w:rPr>
  </w:style>
  <w:style w:type="paragraph" w:styleId="Sprechblasentext">
    <w:name w:val="Balloon Text"/>
    <w:basedOn w:val="Standard"/>
    <w:semiHidden/>
    <w:rsid w:val="0008467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81489"/>
  </w:style>
  <w:style w:type="table" w:styleId="Tabellenraster">
    <w:name w:val="Table Grid"/>
    <w:basedOn w:val="NormaleTabelle"/>
    <w:rsid w:val="001744F1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CA1539"/>
    <w:pPr>
      <w:spacing w:line="240" w:lineRule="auto"/>
    </w:pPr>
    <w:rPr>
      <w:rFonts w:ascii="Times New Roman" w:hAnsi="Times New Roman"/>
      <w:sz w:val="24"/>
      <w:szCs w:val="20"/>
      <w:lang w:val="de-DE"/>
    </w:rPr>
  </w:style>
  <w:style w:type="paragraph" w:styleId="Textkrper2">
    <w:name w:val="Body Text 2"/>
    <w:basedOn w:val="Standard"/>
    <w:rsid w:val="00CA1539"/>
    <w:pPr>
      <w:spacing w:line="240" w:lineRule="auto"/>
      <w:jc w:val="both"/>
    </w:pPr>
    <w:rPr>
      <w:rFonts w:ascii="Times New Roman" w:hAnsi="Times New Roman"/>
      <w:sz w:val="24"/>
      <w:szCs w:val="20"/>
      <w:lang w:val="de-DE"/>
    </w:rPr>
  </w:style>
  <w:style w:type="character" w:styleId="Hyperlink">
    <w:name w:val="Hyperlink"/>
    <w:rsid w:val="00CA1539"/>
    <w:rPr>
      <w:color w:val="0000FF"/>
      <w:u w:val="single"/>
    </w:rPr>
  </w:style>
  <w:style w:type="character" w:styleId="BesuchterHyperlink">
    <w:name w:val="FollowedHyperlink"/>
    <w:rsid w:val="00CA1539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549C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6681"/>
    <w:pPr>
      <w:spacing w:line="280" w:lineRule="exact"/>
    </w:pPr>
    <w:rPr>
      <w:rFonts w:ascii="Arial" w:hAnsi="Arial"/>
      <w:szCs w:val="22"/>
    </w:rPr>
  </w:style>
  <w:style w:type="paragraph" w:styleId="berschrift1">
    <w:name w:val="heading 1"/>
    <w:basedOn w:val="Standard"/>
    <w:next w:val="Standard"/>
    <w:qFormat/>
    <w:rsid w:val="00E4298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429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29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CA1539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berschrift9">
    <w:name w:val="heading 9"/>
    <w:basedOn w:val="Standard"/>
    <w:next w:val="Standard"/>
    <w:qFormat/>
    <w:rsid w:val="00CA1539"/>
    <w:pPr>
      <w:spacing w:before="240" w:after="60"/>
      <w:outlineLvl w:val="8"/>
    </w:pPr>
    <w:rPr>
      <w:rFonts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46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467D"/>
    <w:pPr>
      <w:tabs>
        <w:tab w:val="center" w:pos="4536"/>
        <w:tab w:val="right" w:pos="9072"/>
      </w:tabs>
    </w:pPr>
  </w:style>
  <w:style w:type="paragraph" w:customStyle="1" w:styleId="FormatvorlageArial10ptVor150pt">
    <w:name w:val="Formatvorlage Arial 10 pt Vor:  150 pt"/>
    <w:basedOn w:val="Standard"/>
    <w:rsid w:val="002862F9"/>
    <w:pPr>
      <w:spacing w:before="960"/>
    </w:pPr>
    <w:rPr>
      <w:szCs w:val="20"/>
    </w:rPr>
  </w:style>
  <w:style w:type="paragraph" w:styleId="Sprechblasentext">
    <w:name w:val="Balloon Text"/>
    <w:basedOn w:val="Standard"/>
    <w:semiHidden/>
    <w:rsid w:val="0008467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81489"/>
  </w:style>
  <w:style w:type="table" w:styleId="Tabellenraster">
    <w:name w:val="Table Grid"/>
    <w:basedOn w:val="NormaleTabelle"/>
    <w:rsid w:val="001744F1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CA1539"/>
    <w:pPr>
      <w:spacing w:line="240" w:lineRule="auto"/>
    </w:pPr>
    <w:rPr>
      <w:rFonts w:ascii="Times New Roman" w:hAnsi="Times New Roman"/>
      <w:sz w:val="24"/>
      <w:szCs w:val="20"/>
      <w:lang w:val="de-DE"/>
    </w:rPr>
  </w:style>
  <w:style w:type="paragraph" w:styleId="Textkrper2">
    <w:name w:val="Body Text 2"/>
    <w:basedOn w:val="Standard"/>
    <w:rsid w:val="00CA1539"/>
    <w:pPr>
      <w:spacing w:line="240" w:lineRule="auto"/>
      <w:jc w:val="both"/>
    </w:pPr>
    <w:rPr>
      <w:rFonts w:ascii="Times New Roman" w:hAnsi="Times New Roman"/>
      <w:sz w:val="24"/>
      <w:szCs w:val="20"/>
      <w:lang w:val="de-DE"/>
    </w:rPr>
  </w:style>
  <w:style w:type="character" w:styleId="Hyperlink">
    <w:name w:val="Hyperlink"/>
    <w:rsid w:val="00CA1539"/>
    <w:rPr>
      <w:color w:val="0000FF"/>
      <w:u w:val="single"/>
    </w:rPr>
  </w:style>
  <w:style w:type="character" w:styleId="BesuchterHyperlink">
    <w:name w:val="FollowedHyperlink"/>
    <w:rsid w:val="00CA1539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549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BFFF4BB5BD01434EAF7BDB65342E8774" ma:contentTypeVersion="86" ma:contentTypeDescription="Dokument, das im Prozessportal gespeichert ist" ma:contentTypeScope="" ma:versionID="a457315eeeccac0c73d9e40de1edf9d8">
  <xsd:schema xmlns:xsd="http://www.w3.org/2001/XMLSchema" xmlns:p="http://schemas.microsoft.com/office/2006/metadata/properties" xmlns:ns1="http://schemas.microsoft.com/sharepoint/v3" xmlns:ns2="99e8c713-7d32-4773-8bf4-f2ca123d8163" targetNamespace="http://schemas.microsoft.com/office/2006/metadata/properties" ma:root="true" ma:fieldsID="65b213314fc67e4e55a8e00e7dc321b1" ns1:_="" ns2:_="">
    <xsd:import namespace="http://schemas.microsoft.com/sharepoint/v3"/>
    <xsd:import namespace="99e8c713-7d32-4773-8bf4-f2ca123d8163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187ffdbe-a24c-41e3-99f7-0f9ba521f07f" ma:internalName="GridSoftQmConnectionLookup" ma:readOnly="false" ma:showField="Title" ma:web="39be1919-3113-4683-b94e-3595ec9ff125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99e8c713-7d32-4773-8bf4-f2ca123d8163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 ma:readOnly="fals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 ma:readOnly="false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 ma:readOnly="false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 ma:readOnly="false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 ma:readOnly="false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 ma:readOnly="false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 ma:readOnly="false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 ma:readOnly="false">
      <xsd:simpleType>
        <xsd:restriction base="dms:Text"/>
      </xsd:simpleType>
    </xsd:element>
    <xsd:element name="GridSoftQmPmKeywords" ma:index="20" nillable="true" ma:displayName="Stichworte" ma:description="" ma:internalName="GridSoftQmPmKeywords" ma:readOnly="false">
      <xsd:simpleType>
        <xsd:restriction base="dms:Text"/>
      </xsd:simpleType>
    </xsd:element>
    <xsd:element name="GridSoftQmGrouping" ma:index="21" nillable="true" ma:displayName="Kapitel" ma:default="-" ma:format="Dropdown" ma:internalName="GridSoftQmGrouping">
      <xsd:simpleType>
        <xsd:restriction base="dms:Choice">
          <xsd:enumeration value="-"/>
          <xsd:enumeration value="A_Organisation"/>
          <xsd:enumeration value="B_Allgemeinanästhesie Fachspezifisch"/>
          <xsd:enumeration value="C_Regionalanästhesie"/>
          <xsd:enumeration value="D_Anästhesie-spezielle Krankheitsbilder und Medikationen"/>
          <xsd:enumeration value="E_Beatmung"/>
          <xsd:enumeration value="F_APRA und weisse Zone"/>
          <xsd:enumeration value="G_Schmerztherapie"/>
          <xsd:enumeration value="H_Aufwachraum"/>
          <xsd:enumeration value="I_Informationen für Bettenstationen"/>
          <xsd:enumeration value="K_Belegärzte - Spezialdisziplinen"/>
          <xsd:enumeration value="L_Hausärzte"/>
          <xsd:enumeration value="M_Weiterbildung Pflege"/>
          <xsd:enumeration value="N_Regelungen und Arbeitshilfen Pflege"/>
          <xsd:enumeration value="O_Fotodokumentationen"/>
          <xsd:enumeration value="P_Rettungsdienst (Links)"/>
          <xsd:enumeration value="Q_Rea"/>
          <xsd:enumeration value="R_Weiterbildung zum Facharzt Anästhesie"/>
        </xsd:restriction>
      </xsd:simpleType>
    </xsd:element>
    <xsd:element name="GridSoftQmGrouping2" ma:index="22" nillable="true" ma:displayName="Unterkapitel" ma:default="-" ma:format="Dropdown" ma:internalName="GridSoftQmGrouping2">
      <xsd:simpleType>
        <xsd:restriction base="dms:Choice">
          <xsd:enumeration value="-"/>
          <xsd:enumeration value="&gt;&gt;Kapitel: A_Organisation"/>
          <xsd:enumeration value="Akuter Schmerz (APS)"/>
          <xsd:enumeration value="allg. ZOPS"/>
          <xsd:enumeration value="Allgemeines"/>
          <xsd:enumeration value="Anästhesiepflege NDS HF"/>
          <xsd:enumeration value="Antiemetika und Prokinetika"/>
          <xsd:enumeration value="Assistenzärzte und Unterassistenten"/>
          <xsd:enumeration value="Formulare / Konsilanmeldungen"/>
          <xsd:enumeration value="B_Postoperativ"/>
          <xsd:enumeration value="Chirurgie"/>
          <xsd:enumeration value="Chronischer Schmerz"/>
          <xsd:enumeration value="Diabetes mellitus"/>
          <xsd:enumeration value="Dokumente auf soH-Homepage"/>
          <xsd:enumeration value="Firmen"/>
          <xsd:enumeration value="Gastroenterologie"/>
          <xsd:enumeration value="Geräte"/>
          <xsd:enumeration value="Gerinnung"/>
          <xsd:enumeration value="Gynäkologie/Geburtshilfe"/>
          <xsd:enumeration value="HNO"/>
          <xsd:enumeration value="IDIS (Links)"/>
          <xsd:enumeration value="IDN/Schockraum"/>
          <xsd:enumeration value="Inventarlisten"/>
          <xsd:enumeration value="Kardiologie"/>
          <xsd:enumeration value="Material"/>
          <xsd:enumeration value="Oberärzte"/>
          <xsd:enumeration value="Ophthalmologie"/>
          <xsd:enumeration value="OP-Pfleger"/>
          <xsd:enumeration value="Organisation"/>
          <xsd:enumeration value="Orthopädie"/>
          <xsd:enumeration value="Pflegeassistenten"/>
          <xsd:enumeration value="Pneumologie"/>
          <xsd:enumeration value="Präoperative Evaluation"/>
          <xsd:enumeration value="Radiologie"/>
          <xsd:enumeration value="Regionalanästhesie bei Gerinnungshemmung"/>
          <xsd:enumeration value="Spezielle intraoperative Schmerztherapie"/>
          <xsd:enumeration value="TOA"/>
          <xsd:enumeration value="Urologie"/>
          <xsd:enumeration value="Kinder"/>
          <xsd:enumeration value="C_Regionalanästhsie"/>
          <xsd:enumeration value="Allgemeines"/>
          <xsd:enumeration value="Regionalanästhesie bei Gerinnungshemmung"/>
          <xsd:enumeration value="----------------------------------------------"/>
          <xsd:enumeration value="&gt;&gt;Kapitel: E_Beatmung"/>
          <xsd:enumeration value="Allgemeines"/>
          <xsd:enumeration value="Spezielles"/>
          <xsd:enumeration value="--------------------------------------------"/>
          <xsd:enumeration value="&gt;&gt;Kapitel: G_Schmerztherapie"/>
          <xsd:enumeration value="A_Arbeitsabläufe"/>
          <xsd:enumeration value="Akuter Schmerz (APS)"/>
          <xsd:enumeration value="Chronische Schmerz"/>
          <xsd:enumeration value="Spezielle intraoperative Schmerztherapie"/>
          <xsd:enumeration value="------------------------------------------------------"/>
          <xsd:enumeration value="&gt;&gt;Kapitel: Weiterbildung Pflege"/>
          <xsd:enumeration value="Formulare NDS HF"/>
          <xsd:enumeration value="Geräte"/>
          <xsd:enumeration value="Chronischer Schmerz"/>
          <xsd:enumeration value="&gt;&gt; Kapitel: R_Weiterbildung zum Facharzt Anästhesie"/>
          <xsd:enumeration value="1. eLogbuch"/>
          <xsd:enumeration value="2. Arbeitsplatz basiertes Assessment (AbA)"/>
          <xsd:enumeration value="3. Weiterbildungsgespräche und FMH/SIWF Zeugnis"/>
          <xsd:enumeration value="4. Informatives zur Weiterbildung"/>
          <xsd:enumeration value="5. Resident Evaluation Tool (RET)"/>
          <xsd:enumeration value="6. Weiterbildungskonzept KSO"/>
          <xsd:enumeration value="Anästhesiepflege NDS HF"/>
        </xsd:restriction>
      </xsd:simpleType>
    </xsd:element>
    <xsd:element name="GridSoftQmPmDisplayItem" ma:index="23" nillable="true" ma:displayName="Details" ma:description="" ma:hidden="true" ma:internalName="GridSoftQmPmDisplayItem" ma:readOnly="false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Duration" ma:readOnly="false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 ma:readOnly="false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tru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idSoftQmPmTempHelper xmlns="http://schemas.microsoft.com/sharepoint/v3" xsi:nil="true"/>
    <GridSoftQmConnectionLookup xmlns="http://schemas.microsoft.com/sharepoint/v3" xsi:nil="true"/>
    <GridSoftQmPmVerifyApproval xmlns="99e8c713-7d32-4773-8bf4-f2ca123d8163">CA</GridSoftQmPmVerifyApproval>
    <GridSoftQmPmAccess xmlns="99e8c713-7d32-4773-8bf4-f2ca123d8163" xsi:nil="true"/>
    <GridSoftQmPmVerify xmlns="99e8c713-7d32-4773-8bf4-f2ca123d8163">LA</GridSoftQmPmVerify>
    <GridSoftQmGrouping xmlns="99e8c713-7d32-4773-8bf4-f2ca123d8163">B_Allgemeinanästhesie Fachspezifisch</GridSoftQmGrouping>
    <GridSoftQmPmId xmlns="99e8c713-7d32-4773-8bf4-f2ca123d8163" xsi:nil="true"/>
    <GridSoftQmPmModificationMethod xmlns="99e8c713-7d32-4773-8bf4-f2ca123d8163">0 - dürfen nicht geändert werden</GridSoftQmPmModificationMethod>
    <GridSoftQmPmCreation xmlns="99e8c713-7d32-4773-8bf4-f2ca123d8163">CA</GridSoftQmPmCreation>
    <GridSoftQmPmType xmlns="99e8c713-7d32-4773-8bf4-f2ca123d8163">Interne Regelungen (R)</GridSoftQmPmType>
    <GridSoftQmPmExpires xmlns="99e8c713-7d32-4773-8bf4-f2ca123d8163">2016-12-16T23:00:00+00:00</GridSoftQmPmExpires>
    <GridSoftQmGrouping2 xmlns="99e8c713-7d32-4773-8bf4-f2ca123d8163">Allgemeines</GridSoftQmGrouping2>
    <GridSoftQmPmDisplayItem xmlns="99e8c713-7d32-4773-8bf4-f2ca123d8163" xsi:nil="true"/>
    <GridSoftQmArchiveField xmlns="99e8c713-7d32-4773-8bf4-f2ca123d8163">false</GridSoftQmArchiveField>
    <GridSoftQmPmTempWritePerson xmlns="99e8c713-7d32-4773-8bf4-f2ca123d8163">
      <UserInfo>
        <DisplayName/>
        <AccountId xsi:nil="true"/>
        <AccountType/>
      </UserInfo>
    </GridSoftQmPmTempWritePerson>
    <GridSoftQmPmExpiresRespPerson xmlns="99e8c713-7d32-4773-8bf4-f2ca123d8163">
      <UserInfo>
        <DisplayName/>
        <AccountId xsi:nil="true"/>
        <AccountType/>
      </UserInfo>
    </GridSoftQmPmExpiresRespPerson>
    <GridSoftQmPmKeywords xmlns="99e8c713-7d32-4773-8bf4-f2ca123d8163" xsi:nil="true"/>
    <GridSoftQmPmDuration xmlns="99e8c713-7d32-4773-8bf4-f2ca123d8163">10</GridSoftQmPmDurat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57CE-AAAB-4A32-9FD7-3CC25A5034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1465AB-EF8D-42EA-8DA6-0DD245EE3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e8c713-7d32-4773-8bf4-f2ca123d81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582517-0521-4CA2-8271-AFFB9F7740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4FF8E5-38DE-4A94-8D11-0FBC5FC77972}">
  <ds:schemaRefs>
    <ds:schemaRef ds:uri="http://purl.org/dc/terms/"/>
    <ds:schemaRef ds:uri="http://schemas.microsoft.com/office/2006/documentManagement/types"/>
    <ds:schemaRef ds:uri="99e8c713-7d32-4773-8bf4-f2ca123d8163"/>
    <ds:schemaRef ds:uri="http://schemas.microsoft.com/sharepoint/v3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444FCFE-7127-4939-B840-D9369EEE43C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CE8B58-34E6-4106-B1F0-43DAB9DF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E8A6C0E7.dotm</Template>
  <TotalTime>0</TotalTime>
  <Pages>3</Pages>
  <Words>897</Words>
  <Characters>5657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Dosierung LMWH bei adipösen Patienten</vt:lpstr>
    </vt:vector>
  </TitlesOfParts>
  <Company>IAS Solothurn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Dosierung LMWH bei adipösen Patienten</dc:title>
  <dc:creator>sabine.moor</dc:creator>
  <cp:lastModifiedBy>Kosa Eveline</cp:lastModifiedBy>
  <cp:revision>2</cp:revision>
  <cp:lastPrinted>2014-09-17T15:13:00Z</cp:lastPrinted>
  <dcterms:created xsi:type="dcterms:W3CDTF">2018-06-12T13:07:00Z</dcterms:created>
  <dcterms:modified xsi:type="dcterms:W3CDTF">2018-06-12T13:07:00Z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idSoftQmPmLoc">
    <vt:lpwstr>Prozess-Portal</vt:lpwstr>
  </property>
  <property fmtid="{D5CDD505-2E9C-101B-9397-08002B2CF9AE}" pid="3" name="ContentType">
    <vt:lpwstr>Dokument im Portal</vt:lpwstr>
  </property>
</Properties>
</file>